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523D"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96B5240" w14:textId="77777777" w:rsidR="006F6326" w:rsidRDefault="006F6326" w:rsidP="008A22C6"/>
    <w:tbl>
      <w:tblPr>
        <w:tblStyle w:val="TableGrid"/>
        <w:tblW w:w="9924" w:type="dxa"/>
        <w:tblInd w:w="-318" w:type="dxa"/>
        <w:tblLook w:val="04A0" w:firstRow="1" w:lastRow="0" w:firstColumn="1" w:lastColumn="0" w:noHBand="0" w:noVBand="1"/>
      </w:tblPr>
      <w:tblGrid>
        <w:gridCol w:w="2440"/>
        <w:gridCol w:w="7484"/>
      </w:tblGrid>
      <w:tr w:rsidR="001C29CA" w14:paraId="196B5243" w14:textId="77777777" w:rsidTr="00C51793">
        <w:tc>
          <w:tcPr>
            <w:tcW w:w="2440" w:type="dxa"/>
          </w:tcPr>
          <w:p w14:paraId="196B5241" w14:textId="77777777" w:rsidR="001C29CA" w:rsidRDefault="001C29CA" w:rsidP="001C29C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7484" w:type="dxa"/>
          </w:tcPr>
          <w:p w14:paraId="75A8E8DF" w14:textId="62E55018" w:rsidR="001C29CA" w:rsidRDefault="000B7E68" w:rsidP="001C29CA">
            <w:pPr>
              <w:rPr>
                <w:rFonts w:ascii="Arial" w:hAnsi="Arial" w:cs="Arial"/>
              </w:rPr>
            </w:pPr>
            <w:r>
              <w:rPr>
                <w:rFonts w:ascii="Arial" w:hAnsi="Arial" w:cs="Arial"/>
              </w:rPr>
              <w:t>Approval of</w:t>
            </w:r>
            <w:r w:rsidR="001C29CA">
              <w:rPr>
                <w:rFonts w:ascii="Arial" w:hAnsi="Arial" w:cs="Arial"/>
              </w:rPr>
              <w:t xml:space="preserve"> removal of selected trees</w:t>
            </w:r>
            <w:r w:rsidR="00983B52">
              <w:rPr>
                <w:rFonts w:ascii="Arial" w:hAnsi="Arial" w:cs="Arial"/>
              </w:rPr>
              <w:t xml:space="preserve"> (</w:t>
            </w:r>
            <w:r w:rsidR="00BD6F92">
              <w:rPr>
                <w:rFonts w:ascii="Arial" w:hAnsi="Arial" w:cs="Arial"/>
              </w:rPr>
              <w:t xml:space="preserve">shown at </w:t>
            </w:r>
            <w:r w:rsidR="00983B52">
              <w:rPr>
                <w:rFonts w:ascii="Arial" w:hAnsi="Arial" w:cs="Arial"/>
              </w:rPr>
              <w:t>Appendix A)</w:t>
            </w:r>
            <w:r w:rsidR="001C29CA">
              <w:rPr>
                <w:rFonts w:ascii="Arial" w:hAnsi="Arial" w:cs="Arial"/>
              </w:rPr>
              <w:t xml:space="preserve"> and other vegetation prior to commencement of bird nesting season, to enable mobilisation for construction of </w:t>
            </w:r>
            <w:r w:rsidR="00B71FC1">
              <w:rPr>
                <w:rFonts w:ascii="Arial" w:hAnsi="Arial" w:cs="Arial"/>
              </w:rPr>
              <w:t xml:space="preserve">the Proposed </w:t>
            </w:r>
            <w:r w:rsidR="001C29CA">
              <w:rPr>
                <w:rFonts w:ascii="Arial" w:hAnsi="Arial" w:cs="Arial"/>
              </w:rPr>
              <w:t xml:space="preserve">Oxpens River Bridge in July 2024. </w:t>
            </w:r>
          </w:p>
          <w:p w14:paraId="196B5242" w14:textId="0F59734C" w:rsidR="00BD6F92" w:rsidRPr="00A96C08" w:rsidRDefault="00BD6F92" w:rsidP="001C29CA">
            <w:pPr>
              <w:rPr>
                <w:rFonts w:ascii="Arial" w:hAnsi="Arial" w:cs="Arial"/>
              </w:rPr>
            </w:pPr>
          </w:p>
        </w:tc>
      </w:tr>
      <w:tr w:rsidR="001C29CA" w14:paraId="196B5246" w14:textId="77777777" w:rsidTr="00C51793">
        <w:tc>
          <w:tcPr>
            <w:tcW w:w="2440" w:type="dxa"/>
          </w:tcPr>
          <w:p w14:paraId="196B5244" w14:textId="77777777" w:rsidR="001C29CA" w:rsidRPr="002B302A" w:rsidRDefault="001C29CA" w:rsidP="001C29CA">
            <w:pPr>
              <w:spacing w:before="120" w:after="120"/>
              <w:rPr>
                <w:rFonts w:ascii="Arial" w:hAnsi="Arial" w:cs="Arial"/>
                <w:b/>
              </w:rPr>
            </w:pPr>
            <w:r w:rsidRPr="002B302A">
              <w:rPr>
                <w:rFonts w:ascii="Arial" w:hAnsi="Arial" w:cs="Arial"/>
                <w:b/>
              </w:rPr>
              <w:t>Decision date:</w:t>
            </w:r>
          </w:p>
        </w:tc>
        <w:tc>
          <w:tcPr>
            <w:tcW w:w="7484" w:type="dxa"/>
          </w:tcPr>
          <w:p w14:paraId="196B5245" w14:textId="2F5FC956" w:rsidR="001C29CA" w:rsidRPr="00D5207C" w:rsidRDefault="001C29CA" w:rsidP="001C29CA">
            <w:pPr>
              <w:rPr>
                <w:rFonts w:ascii="Arial" w:hAnsi="Arial" w:cs="Arial"/>
              </w:rPr>
            </w:pPr>
            <w:r>
              <w:rPr>
                <w:rFonts w:ascii="Arial" w:hAnsi="Arial" w:cs="Arial"/>
              </w:rPr>
              <w:t>20</w:t>
            </w:r>
            <w:r w:rsidR="00BD6F92">
              <w:rPr>
                <w:rFonts w:ascii="Arial" w:hAnsi="Arial" w:cs="Arial"/>
              </w:rPr>
              <w:t xml:space="preserve"> </w:t>
            </w:r>
            <w:r>
              <w:rPr>
                <w:rFonts w:ascii="Arial" w:hAnsi="Arial" w:cs="Arial"/>
              </w:rPr>
              <w:t>February 2024</w:t>
            </w:r>
          </w:p>
        </w:tc>
      </w:tr>
      <w:tr w:rsidR="00854133" w14:paraId="196B5249" w14:textId="77777777" w:rsidTr="00C51793">
        <w:tc>
          <w:tcPr>
            <w:tcW w:w="2440" w:type="dxa"/>
          </w:tcPr>
          <w:p w14:paraId="196B5247" w14:textId="7F0F9F0A"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7484" w:type="dxa"/>
          </w:tcPr>
          <w:p w14:paraId="45B90400" w14:textId="2868FFFB" w:rsidR="00BD6F92" w:rsidRDefault="00BD6F92" w:rsidP="00BD6F92">
            <w:pPr>
              <w:rPr>
                <w:rFonts w:ascii="Arial" w:hAnsi="Arial" w:cs="Arial"/>
              </w:rPr>
            </w:pPr>
            <w:bookmarkStart w:id="0" w:name="_Hlk159334870"/>
            <w:r w:rsidRPr="002F6557">
              <w:rPr>
                <w:rFonts w:ascii="Arial" w:hAnsi="Arial" w:cs="Arial"/>
              </w:rPr>
              <w:t xml:space="preserve">This decision </w:t>
            </w:r>
            <w:r w:rsidR="00D907D4">
              <w:rPr>
                <w:rFonts w:ascii="Arial" w:hAnsi="Arial" w:cs="Arial"/>
              </w:rPr>
              <w:t>i</w:t>
            </w:r>
            <w:r w:rsidRPr="002F6557">
              <w:rPr>
                <w:rFonts w:ascii="Arial" w:hAnsi="Arial" w:cs="Arial"/>
              </w:rPr>
              <w:t>s delegated to officers</w:t>
            </w:r>
            <w:r>
              <w:rPr>
                <w:rFonts w:ascii="Arial" w:hAnsi="Arial" w:cs="Arial"/>
              </w:rPr>
              <w:t xml:space="preserve"> </w:t>
            </w:r>
            <w:r w:rsidRPr="002F6557">
              <w:rPr>
                <w:rFonts w:ascii="Arial" w:hAnsi="Arial" w:cs="Arial"/>
              </w:rPr>
              <w:t>under Part 4.4 of the Council’s Constitution:</w:t>
            </w:r>
            <w:r>
              <w:rPr>
                <w:rFonts w:ascii="Arial" w:hAnsi="Arial" w:cs="Arial"/>
              </w:rPr>
              <w:t xml:space="preserve"> a</w:t>
            </w:r>
            <w:r w:rsidRPr="002F6557">
              <w:rPr>
                <w:rFonts w:ascii="Arial" w:hAnsi="Arial" w:cs="Arial"/>
              </w:rPr>
              <w:t>ll ex</w:t>
            </w:r>
            <w:r>
              <w:rPr>
                <w:rFonts w:ascii="Arial" w:hAnsi="Arial" w:cs="Arial"/>
              </w:rPr>
              <w:t>ecutive functions except tho</w:t>
            </w:r>
            <w:r w:rsidRPr="002F6557">
              <w:rPr>
                <w:rFonts w:ascii="Arial" w:hAnsi="Arial" w:cs="Arial"/>
              </w:rPr>
              <w:t>s</w:t>
            </w:r>
            <w:r>
              <w:rPr>
                <w:rFonts w:ascii="Arial" w:hAnsi="Arial" w:cs="Arial"/>
              </w:rPr>
              <w:t>e</w:t>
            </w:r>
            <w:r w:rsidRPr="002F6557">
              <w:rPr>
                <w:rFonts w:ascii="Arial" w:hAnsi="Arial" w:cs="Arial"/>
              </w:rPr>
              <w:t xml:space="preserve"> in</w:t>
            </w:r>
            <w:r>
              <w:rPr>
                <w:rFonts w:ascii="Arial" w:hAnsi="Arial" w:cs="Arial"/>
              </w:rPr>
              <w:t xml:space="preserve"> Part 4.5,</w:t>
            </w:r>
            <w:r w:rsidRPr="002F6557">
              <w:rPr>
                <w:rFonts w:ascii="Arial" w:hAnsi="Arial" w:cs="Arial"/>
              </w:rPr>
              <w:t xml:space="preserve"> 4.6</w:t>
            </w:r>
            <w:r>
              <w:rPr>
                <w:rFonts w:ascii="Arial" w:hAnsi="Arial" w:cs="Arial"/>
              </w:rPr>
              <w:t xml:space="preserve"> and 4.7</w:t>
            </w:r>
            <w:r w:rsidRPr="002F6557">
              <w:rPr>
                <w:rFonts w:ascii="Arial" w:hAnsi="Arial" w:cs="Arial"/>
              </w:rPr>
              <w:t xml:space="preserve"> are delegated to the</w:t>
            </w:r>
            <w:r>
              <w:rPr>
                <w:rFonts w:ascii="Arial" w:hAnsi="Arial" w:cs="Arial"/>
              </w:rPr>
              <w:t xml:space="preserve"> </w:t>
            </w:r>
            <w:r w:rsidRPr="002F6557">
              <w:rPr>
                <w:rFonts w:ascii="Arial" w:hAnsi="Arial" w:cs="Arial"/>
              </w:rPr>
              <w:t xml:space="preserve">officers in the senior </w:t>
            </w:r>
            <w:r>
              <w:rPr>
                <w:rFonts w:ascii="Arial" w:hAnsi="Arial" w:cs="Arial"/>
              </w:rPr>
              <w:t>m</w:t>
            </w:r>
            <w:r w:rsidRPr="002F6557">
              <w:rPr>
                <w:rFonts w:ascii="Arial" w:hAnsi="Arial" w:cs="Arial"/>
              </w:rPr>
              <w:t>anagement structure.</w:t>
            </w:r>
          </w:p>
          <w:p w14:paraId="2B23E2ED" w14:textId="1AC56CED" w:rsidR="0015298F" w:rsidRDefault="0015298F" w:rsidP="00E97024">
            <w:pPr>
              <w:rPr>
                <w:rFonts w:ascii="Arial" w:hAnsi="Arial" w:cs="Arial"/>
              </w:rPr>
            </w:pPr>
          </w:p>
          <w:p w14:paraId="7A52587A" w14:textId="55C489E5" w:rsidR="00A41DEB" w:rsidRDefault="0015298F" w:rsidP="00A41DEB">
            <w:pPr>
              <w:rPr>
                <w:rFonts w:ascii="Arial" w:hAnsi="Arial" w:cs="Arial"/>
              </w:rPr>
            </w:pPr>
            <w:r>
              <w:rPr>
                <w:rFonts w:ascii="Arial" w:hAnsi="Arial" w:cs="Arial"/>
              </w:rPr>
              <w:t xml:space="preserve">Reference is made elsewhere to the Cabinet </w:t>
            </w:r>
            <w:r w:rsidR="00BD6F92">
              <w:rPr>
                <w:rFonts w:ascii="Arial" w:hAnsi="Arial" w:cs="Arial"/>
              </w:rPr>
              <w:t>d</w:t>
            </w:r>
            <w:r w:rsidR="00796B31">
              <w:rPr>
                <w:rFonts w:ascii="Arial" w:hAnsi="Arial" w:cs="Arial"/>
              </w:rPr>
              <w:t>ecision</w:t>
            </w:r>
            <w:r>
              <w:rPr>
                <w:rFonts w:ascii="Arial" w:hAnsi="Arial" w:cs="Arial"/>
              </w:rPr>
              <w:t xml:space="preserve"> o</w:t>
            </w:r>
            <w:r w:rsidR="00BD6F92">
              <w:rPr>
                <w:rFonts w:ascii="Arial" w:hAnsi="Arial" w:cs="Arial"/>
              </w:rPr>
              <w:t>f</w:t>
            </w:r>
            <w:r>
              <w:rPr>
                <w:rFonts w:ascii="Arial" w:hAnsi="Arial" w:cs="Arial"/>
              </w:rPr>
              <w:t xml:space="preserve"> 16</w:t>
            </w:r>
            <w:r w:rsidR="00BD6F92">
              <w:rPr>
                <w:rFonts w:ascii="Arial" w:hAnsi="Arial" w:cs="Arial"/>
              </w:rPr>
              <w:t xml:space="preserve"> November </w:t>
            </w:r>
            <w:r>
              <w:rPr>
                <w:rFonts w:ascii="Arial" w:hAnsi="Arial" w:cs="Arial"/>
              </w:rPr>
              <w:t>2022 to enter into contractual terms for the pre-contract stages of the Oxpens River Bridge construction project (</w:t>
            </w:r>
            <w:r w:rsidR="00BD6F92">
              <w:rPr>
                <w:rFonts w:ascii="Arial" w:hAnsi="Arial" w:cs="Arial"/>
              </w:rPr>
              <w:t>see</w:t>
            </w:r>
            <w:r>
              <w:rPr>
                <w:rFonts w:ascii="Arial" w:hAnsi="Arial" w:cs="Arial"/>
              </w:rPr>
              <w:t xml:space="preserve"> Cabinet Report </w:t>
            </w:r>
            <w:hyperlink r:id="rId11" w:history="1">
              <w:r w:rsidRPr="00F93393">
                <w:rPr>
                  <w:rStyle w:val="Hyperlink"/>
                  <w:rFonts w:ascii="Arial" w:hAnsi="Arial" w:cs="Arial"/>
                </w:rPr>
                <w:t>here</w:t>
              </w:r>
            </w:hyperlink>
            <w:r>
              <w:rPr>
                <w:rFonts w:ascii="Arial" w:hAnsi="Arial" w:cs="Arial"/>
              </w:rPr>
              <w:t>) which was subsequently completed via the signing of a pre-contract services agreement</w:t>
            </w:r>
            <w:r w:rsidR="00A41DEB">
              <w:rPr>
                <w:rFonts w:ascii="Arial" w:hAnsi="Arial" w:cs="Arial"/>
              </w:rPr>
              <w:t xml:space="preserve"> (PCSA)</w:t>
            </w:r>
            <w:r>
              <w:rPr>
                <w:rFonts w:ascii="Arial" w:hAnsi="Arial" w:cs="Arial"/>
              </w:rPr>
              <w:t xml:space="preserve"> on 29/03/2023 (</w:t>
            </w:r>
            <w:r w:rsidR="00BD6F92">
              <w:rPr>
                <w:rFonts w:ascii="Arial" w:hAnsi="Arial" w:cs="Arial"/>
              </w:rPr>
              <w:t>see decision</w:t>
            </w:r>
            <w:r>
              <w:rPr>
                <w:rFonts w:ascii="Arial" w:hAnsi="Arial" w:cs="Arial"/>
              </w:rPr>
              <w:t xml:space="preserve"> </w:t>
            </w:r>
            <w:hyperlink r:id="rId12" w:history="1">
              <w:r w:rsidRPr="0015298F">
                <w:rPr>
                  <w:rStyle w:val="Hyperlink"/>
                  <w:rFonts w:ascii="Arial" w:hAnsi="Arial" w:cs="Arial"/>
                </w:rPr>
                <w:t>here</w:t>
              </w:r>
            </w:hyperlink>
            <w:r>
              <w:rPr>
                <w:rFonts w:ascii="Arial" w:hAnsi="Arial" w:cs="Arial"/>
              </w:rPr>
              <w:t>)</w:t>
            </w:r>
            <w:r w:rsidR="00A41DEB">
              <w:rPr>
                <w:rFonts w:ascii="Arial" w:hAnsi="Arial" w:cs="Arial"/>
              </w:rPr>
              <w:t xml:space="preserve">.  </w:t>
            </w:r>
          </w:p>
          <w:p w14:paraId="208DE75D" w14:textId="7EF1B093" w:rsidR="00983B52" w:rsidRDefault="00983B52" w:rsidP="00A41DEB">
            <w:pPr>
              <w:rPr>
                <w:rFonts w:ascii="Arial" w:hAnsi="Arial" w:cs="Arial"/>
              </w:rPr>
            </w:pPr>
          </w:p>
          <w:p w14:paraId="1779CA41" w14:textId="68364FF2" w:rsidR="00A41DEB" w:rsidRDefault="00983B52" w:rsidP="00A41DEB">
            <w:pPr>
              <w:rPr>
                <w:rFonts w:ascii="Arial" w:hAnsi="Arial" w:cs="Arial"/>
              </w:rPr>
            </w:pPr>
            <w:r>
              <w:rPr>
                <w:rFonts w:ascii="Arial" w:hAnsi="Arial" w:cs="Arial"/>
              </w:rPr>
              <w:t>As planning consent is still pending there is no development to bring forward at present</w:t>
            </w:r>
            <w:r w:rsidR="00BD6F92">
              <w:rPr>
                <w:rFonts w:ascii="Arial" w:hAnsi="Arial" w:cs="Arial"/>
              </w:rPr>
              <w:t>;</w:t>
            </w:r>
            <w:r>
              <w:rPr>
                <w:rFonts w:ascii="Arial" w:hAnsi="Arial" w:cs="Arial"/>
              </w:rPr>
              <w:t xml:space="preserve"> </w:t>
            </w:r>
            <w:proofErr w:type="gramStart"/>
            <w:r>
              <w:rPr>
                <w:rFonts w:ascii="Arial" w:hAnsi="Arial" w:cs="Arial"/>
              </w:rPr>
              <w:t>therefore</w:t>
            </w:r>
            <w:proofErr w:type="gramEnd"/>
            <w:r>
              <w:rPr>
                <w:rFonts w:ascii="Arial" w:hAnsi="Arial" w:cs="Arial"/>
              </w:rPr>
              <w:t xml:space="preserve"> this </w:t>
            </w:r>
            <w:r w:rsidR="00BD6F92">
              <w:rPr>
                <w:rFonts w:ascii="Arial" w:hAnsi="Arial" w:cs="Arial"/>
              </w:rPr>
              <w:t xml:space="preserve">decision </w:t>
            </w:r>
            <w:r w:rsidR="000B7E68">
              <w:rPr>
                <w:rFonts w:ascii="Arial" w:hAnsi="Arial" w:cs="Arial"/>
              </w:rPr>
              <w:t>i</w:t>
            </w:r>
            <w:r w:rsidR="00BD6F92">
              <w:rPr>
                <w:rFonts w:ascii="Arial" w:hAnsi="Arial" w:cs="Arial"/>
              </w:rPr>
              <w:t>s taken</w:t>
            </w:r>
            <w:r>
              <w:rPr>
                <w:rFonts w:ascii="Arial" w:hAnsi="Arial" w:cs="Arial"/>
              </w:rPr>
              <w:t xml:space="preserve"> as an officer decision in line with </w:t>
            </w:r>
            <w:r w:rsidR="00BD6F92">
              <w:rPr>
                <w:rFonts w:ascii="Arial" w:hAnsi="Arial" w:cs="Arial"/>
              </w:rPr>
              <w:t xml:space="preserve">Part 4.4 of </w:t>
            </w:r>
            <w:r>
              <w:rPr>
                <w:rFonts w:ascii="Arial" w:hAnsi="Arial" w:cs="Arial"/>
              </w:rPr>
              <w:t xml:space="preserve">the </w:t>
            </w:r>
            <w:r w:rsidR="00BD6F92">
              <w:rPr>
                <w:rFonts w:ascii="Arial" w:hAnsi="Arial" w:cs="Arial"/>
              </w:rPr>
              <w:t>C</w:t>
            </w:r>
            <w:r>
              <w:rPr>
                <w:rFonts w:ascii="Arial" w:hAnsi="Arial" w:cs="Arial"/>
              </w:rPr>
              <w:t>onstitution</w:t>
            </w:r>
            <w:r w:rsidR="00BD6F92">
              <w:rPr>
                <w:rFonts w:ascii="Arial" w:hAnsi="Arial" w:cs="Arial"/>
              </w:rPr>
              <w:t>,</w:t>
            </w:r>
            <w:r>
              <w:rPr>
                <w:rFonts w:ascii="Arial" w:hAnsi="Arial" w:cs="Arial"/>
              </w:rPr>
              <w:t xml:space="preserve"> and not under the delegation </w:t>
            </w:r>
            <w:r w:rsidR="00BD6F92">
              <w:rPr>
                <w:rFonts w:ascii="Arial" w:hAnsi="Arial" w:cs="Arial"/>
              </w:rPr>
              <w:t>made by</w:t>
            </w:r>
            <w:r>
              <w:rPr>
                <w:rFonts w:ascii="Arial" w:hAnsi="Arial" w:cs="Arial"/>
              </w:rPr>
              <w:t xml:space="preserve"> Cabinet </w:t>
            </w:r>
            <w:r w:rsidR="00BD6F92">
              <w:rPr>
                <w:rFonts w:ascii="Arial" w:hAnsi="Arial" w:cs="Arial"/>
              </w:rPr>
              <w:t>on 16 November 2022</w:t>
            </w:r>
            <w:r>
              <w:rPr>
                <w:rFonts w:ascii="Arial" w:hAnsi="Arial" w:cs="Arial"/>
              </w:rPr>
              <w:t>.</w:t>
            </w:r>
            <w:bookmarkEnd w:id="0"/>
            <w:r>
              <w:rPr>
                <w:rFonts w:ascii="Arial" w:hAnsi="Arial" w:cs="Arial"/>
              </w:rPr>
              <w:t xml:space="preserve"> </w:t>
            </w:r>
          </w:p>
          <w:p w14:paraId="196B5248" w14:textId="338E63E6" w:rsidR="00C765FA" w:rsidRPr="00E20A54" w:rsidRDefault="00C765FA" w:rsidP="00B723DC">
            <w:pPr>
              <w:rPr>
                <w:rFonts w:ascii="Arial" w:hAnsi="Arial" w:cs="Arial"/>
              </w:rPr>
            </w:pPr>
          </w:p>
        </w:tc>
      </w:tr>
      <w:tr w:rsidR="00B87695" w14:paraId="196B524C" w14:textId="77777777" w:rsidTr="00C51793">
        <w:tc>
          <w:tcPr>
            <w:tcW w:w="2440" w:type="dxa"/>
          </w:tcPr>
          <w:p w14:paraId="196B524A" w14:textId="44D7DE2F"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7484" w:type="dxa"/>
          </w:tcPr>
          <w:p w14:paraId="378AFEC8" w14:textId="5A369CA6" w:rsidR="00EE385E" w:rsidRDefault="00BD6F92" w:rsidP="00BD6F92">
            <w:pPr>
              <w:pStyle w:val="NumPara"/>
              <w:numPr>
                <w:ilvl w:val="0"/>
                <w:numId w:val="0"/>
              </w:numPr>
              <w:spacing w:after="0" w:line="240" w:lineRule="auto"/>
              <w:jc w:val="left"/>
            </w:pPr>
            <w:bookmarkStart w:id="1" w:name="_Hlk159335066"/>
            <w:r>
              <w:t>T</w:t>
            </w:r>
            <w:r w:rsidR="00EE385E">
              <w:t>o progress</w:t>
            </w:r>
            <w:r w:rsidR="00E95412">
              <w:t xml:space="preserve"> with</w:t>
            </w:r>
            <w:r w:rsidR="00EE385E">
              <w:t xml:space="preserve"> the </w:t>
            </w:r>
            <w:r w:rsidR="00924808">
              <w:t>clearance of trees and vegetation as</w:t>
            </w:r>
            <w:r w:rsidR="00EE385E">
              <w:t xml:space="preserve"> identified on the attached plan</w:t>
            </w:r>
            <w:r w:rsidR="00636621">
              <w:t xml:space="preserve"> </w:t>
            </w:r>
            <w:r>
              <w:t>(Appendix A)</w:t>
            </w:r>
            <w:r w:rsidR="00EE385E">
              <w:t xml:space="preserve"> a</w:t>
            </w:r>
            <w:r>
              <w:t>nd</w:t>
            </w:r>
            <w:r w:rsidR="00EE385E">
              <w:t xml:space="preserve"> referenced below,</w:t>
            </w:r>
            <w:r w:rsidR="00636621">
              <w:t xml:space="preserve"> prior to 1 March 2024:</w:t>
            </w:r>
          </w:p>
          <w:p w14:paraId="3AC5BDBF" w14:textId="77777777" w:rsidR="00BD6F92" w:rsidRDefault="00BD6F92" w:rsidP="00BD6F92">
            <w:pPr>
              <w:pStyle w:val="NumPara"/>
              <w:numPr>
                <w:ilvl w:val="0"/>
                <w:numId w:val="0"/>
              </w:numPr>
              <w:spacing w:after="0" w:line="240" w:lineRule="auto"/>
              <w:jc w:val="left"/>
            </w:pPr>
          </w:p>
          <w:p w14:paraId="1BC82BAF" w14:textId="32D38A9E" w:rsidR="00636621" w:rsidRDefault="00636621" w:rsidP="00BD6F92">
            <w:pPr>
              <w:pStyle w:val="NumPara2"/>
              <w:numPr>
                <w:ilvl w:val="0"/>
                <w:numId w:val="12"/>
              </w:numPr>
              <w:tabs>
                <w:tab w:val="left" w:pos="720"/>
              </w:tabs>
              <w:spacing w:after="0" w:line="240" w:lineRule="auto"/>
              <w:ind w:left="590" w:hanging="574"/>
            </w:pPr>
            <w:r>
              <w:t xml:space="preserve">Three trees near the site entrance on Oxpens Road and the first cedar tree will need lower </w:t>
            </w:r>
            <w:r w:rsidR="00924808">
              <w:t xml:space="preserve">branches trimmed and </w:t>
            </w:r>
            <w:r>
              <w:t>limbs removed to provide clearance for construction vehicles to access the site on/around 10 June 2024.  These works are considered the least contentious as the trees will be retained and protected during construction. The trees are indicated as group A on the plan with a pale blue box.</w:t>
            </w:r>
          </w:p>
          <w:p w14:paraId="1DAE5140" w14:textId="77777777" w:rsidR="00BD6F92" w:rsidRDefault="00BD6F92" w:rsidP="00BD6F92">
            <w:pPr>
              <w:pStyle w:val="NumPara2"/>
              <w:numPr>
                <w:ilvl w:val="0"/>
                <w:numId w:val="0"/>
              </w:numPr>
              <w:tabs>
                <w:tab w:val="left" w:pos="720"/>
              </w:tabs>
              <w:spacing w:after="0" w:line="240" w:lineRule="auto"/>
              <w:ind w:left="590"/>
            </w:pPr>
          </w:p>
          <w:p w14:paraId="69409DCE" w14:textId="7879AB7B" w:rsidR="00636621" w:rsidRDefault="00636621" w:rsidP="00BD6F92">
            <w:pPr>
              <w:pStyle w:val="NumPara2"/>
              <w:numPr>
                <w:ilvl w:val="0"/>
                <w:numId w:val="12"/>
              </w:numPr>
              <w:tabs>
                <w:tab w:val="left" w:pos="720"/>
              </w:tabs>
              <w:spacing w:after="0" w:line="240" w:lineRule="auto"/>
              <w:ind w:left="590" w:hanging="574"/>
            </w:pPr>
            <w:r>
              <w:t>Two groups of established trees, principally willow, to be removed or heavily pollarded to deter nesting, to the south of the ice rink.  These works would need to be undertaken to provide for ground lowering works in mid-August 2024. These trees are indicated as group B with pink boxes on the plan.</w:t>
            </w:r>
          </w:p>
          <w:p w14:paraId="6EB496F3" w14:textId="77777777" w:rsidR="00BD6F92" w:rsidRDefault="00BD6F92" w:rsidP="00BD6F92">
            <w:pPr>
              <w:pStyle w:val="NumPara2"/>
              <w:numPr>
                <w:ilvl w:val="0"/>
                <w:numId w:val="0"/>
              </w:numPr>
              <w:tabs>
                <w:tab w:val="left" w:pos="720"/>
              </w:tabs>
              <w:spacing w:after="0" w:line="240" w:lineRule="auto"/>
            </w:pPr>
          </w:p>
          <w:p w14:paraId="40D4E7E4" w14:textId="2CFEAFB6" w:rsidR="00B70E40" w:rsidRDefault="00636621" w:rsidP="00BD6F92">
            <w:pPr>
              <w:pStyle w:val="NumPara2"/>
              <w:numPr>
                <w:ilvl w:val="0"/>
                <w:numId w:val="12"/>
              </w:numPr>
              <w:tabs>
                <w:tab w:val="left" w:pos="720"/>
              </w:tabs>
              <w:spacing w:after="0" w:line="240" w:lineRule="auto"/>
              <w:ind w:left="590" w:hanging="574"/>
            </w:pPr>
            <w:r>
              <w:t>A bank of trees on the southern side of the river that need to be removed to facilitate access for site vehicles from the east and to create a haul road by 19 July 2024.  Note</w:t>
            </w:r>
            <w:r w:rsidR="00BD6F92">
              <w:t>:</w:t>
            </w:r>
            <w:r>
              <w:t xml:space="preserve"> smaller vegetation to include bushes/ scrub would also need to be cleared either side of the path to enable plant to be brought to the site to construct the bridge abutment. These trees are indicated as group </w:t>
            </w:r>
            <w:r w:rsidR="00924808">
              <w:t xml:space="preserve">C </w:t>
            </w:r>
            <w:r>
              <w:t xml:space="preserve">with a green box on the plan. </w:t>
            </w:r>
          </w:p>
          <w:p w14:paraId="30533BA4" w14:textId="77777777" w:rsidR="00BD6F92" w:rsidRDefault="00BD6F92" w:rsidP="00BD6F92">
            <w:pPr>
              <w:pStyle w:val="NumPara2"/>
              <w:numPr>
                <w:ilvl w:val="0"/>
                <w:numId w:val="0"/>
              </w:numPr>
              <w:tabs>
                <w:tab w:val="left" w:pos="720"/>
              </w:tabs>
              <w:spacing w:after="0" w:line="240" w:lineRule="auto"/>
            </w:pPr>
          </w:p>
          <w:p w14:paraId="621D4099" w14:textId="41A7B3C8" w:rsidR="00B70E40" w:rsidRDefault="00B70E40" w:rsidP="00BD6F92">
            <w:pPr>
              <w:pStyle w:val="NumPara2"/>
              <w:numPr>
                <w:ilvl w:val="0"/>
                <w:numId w:val="0"/>
              </w:numPr>
              <w:tabs>
                <w:tab w:val="left" w:pos="720"/>
              </w:tabs>
              <w:spacing w:after="0" w:line="240" w:lineRule="auto"/>
            </w:pPr>
            <w:r>
              <w:lastRenderedPageBreak/>
              <w:t xml:space="preserve">An inspection of </w:t>
            </w:r>
            <w:proofErr w:type="gramStart"/>
            <w:r>
              <w:t>all of</w:t>
            </w:r>
            <w:proofErr w:type="gramEnd"/>
            <w:r>
              <w:t xml:space="preserve"> the trees selected for works will be undertaken by a suitably qualified person prior to commencement to check for any evidence of early nesting</w:t>
            </w:r>
            <w:r w:rsidR="00B71FC1">
              <w:t>, which would mean that works would not proceed</w:t>
            </w:r>
            <w:r w:rsidR="0060774F">
              <w:t xml:space="preserve"> in the vicinity</w:t>
            </w:r>
            <w:r w:rsidR="00B71FC1">
              <w:t>.</w:t>
            </w:r>
          </w:p>
          <w:p w14:paraId="59A8D140" w14:textId="77777777" w:rsidR="00BD6F92" w:rsidRDefault="00BD6F92" w:rsidP="00BD6F92">
            <w:pPr>
              <w:pStyle w:val="NumPara2"/>
              <w:numPr>
                <w:ilvl w:val="0"/>
                <w:numId w:val="0"/>
              </w:numPr>
              <w:tabs>
                <w:tab w:val="left" w:pos="720"/>
              </w:tabs>
              <w:spacing w:after="0" w:line="240" w:lineRule="auto"/>
              <w:rPr>
                <w:rFonts w:cs="Arial"/>
              </w:rPr>
            </w:pPr>
          </w:p>
          <w:p w14:paraId="2A99E6A2" w14:textId="077E7A30" w:rsidR="00E95412" w:rsidRDefault="00B723DC" w:rsidP="00BD6F92">
            <w:pPr>
              <w:rPr>
                <w:rFonts w:ascii="Arial" w:hAnsi="Arial" w:cs="Arial"/>
              </w:rPr>
            </w:pPr>
            <w:r>
              <w:rPr>
                <w:rFonts w:ascii="Arial" w:hAnsi="Arial" w:cs="Arial"/>
              </w:rPr>
              <w:t>The</w:t>
            </w:r>
            <w:r w:rsidR="00BD6F92">
              <w:rPr>
                <w:rFonts w:ascii="Arial" w:hAnsi="Arial" w:cs="Arial"/>
              </w:rPr>
              <w:t>se</w:t>
            </w:r>
            <w:r>
              <w:rPr>
                <w:rFonts w:ascii="Arial" w:hAnsi="Arial" w:cs="Arial"/>
              </w:rPr>
              <w:t xml:space="preserve"> tree works and the </w:t>
            </w:r>
            <w:r w:rsidR="00863D32">
              <w:rPr>
                <w:rFonts w:ascii="Arial" w:hAnsi="Arial" w:cs="Arial"/>
              </w:rPr>
              <w:t xml:space="preserve">associated </w:t>
            </w:r>
            <w:r>
              <w:rPr>
                <w:rFonts w:ascii="Arial" w:hAnsi="Arial" w:cs="Arial"/>
              </w:rPr>
              <w:t xml:space="preserve">budget were included as a priced item within the PCSA activity schedule agreed in March 2023. </w:t>
            </w:r>
          </w:p>
          <w:p w14:paraId="1C6BE059" w14:textId="77777777" w:rsidR="00B71FC1" w:rsidRDefault="00B71FC1" w:rsidP="00BD6F92">
            <w:pPr>
              <w:rPr>
                <w:rFonts w:ascii="Arial" w:hAnsi="Arial" w:cs="Arial"/>
              </w:rPr>
            </w:pPr>
          </w:p>
          <w:p w14:paraId="2D42A4F3" w14:textId="77777777" w:rsidR="00CA6B14" w:rsidRDefault="00B71FC1" w:rsidP="00B723DC">
            <w:pPr>
              <w:rPr>
                <w:rFonts w:ascii="Arial" w:hAnsi="Arial" w:cs="Arial"/>
              </w:rPr>
            </w:pPr>
            <w:r>
              <w:rPr>
                <w:rFonts w:ascii="Arial" w:hAnsi="Arial" w:cs="Arial"/>
              </w:rPr>
              <w:t>None of the trees identified for works/ removal are covered by tree protection orders, nor are any further permits or consents required.</w:t>
            </w:r>
          </w:p>
          <w:bookmarkEnd w:id="1"/>
          <w:p w14:paraId="196B524B" w14:textId="1A223471" w:rsidR="00BD6F92" w:rsidRPr="00CA6B14" w:rsidRDefault="00BD6F92" w:rsidP="00B723DC">
            <w:pPr>
              <w:rPr>
                <w:rFonts w:ascii="Arial" w:hAnsi="Arial" w:cs="Arial"/>
              </w:rPr>
            </w:pPr>
          </w:p>
        </w:tc>
      </w:tr>
      <w:tr w:rsidR="00373F5D" w14:paraId="196B524F" w14:textId="77777777" w:rsidTr="00C51793">
        <w:tc>
          <w:tcPr>
            <w:tcW w:w="2440" w:type="dxa"/>
          </w:tcPr>
          <w:p w14:paraId="196B524D" w14:textId="70BEC635" w:rsidR="00373F5D" w:rsidRPr="00373F5D" w:rsidRDefault="00373F5D" w:rsidP="00C678ED">
            <w:pPr>
              <w:spacing w:before="120" w:after="120"/>
              <w:rPr>
                <w:rFonts w:ascii="Arial" w:hAnsi="Arial" w:cs="Arial"/>
              </w:rPr>
            </w:pPr>
            <w:r>
              <w:rPr>
                <w:rFonts w:ascii="Arial" w:hAnsi="Arial" w:cs="Arial"/>
                <w:b/>
              </w:rPr>
              <w:lastRenderedPageBreak/>
              <w:t xml:space="preserve">Purpose: </w:t>
            </w:r>
          </w:p>
        </w:tc>
        <w:tc>
          <w:tcPr>
            <w:tcW w:w="7484" w:type="dxa"/>
          </w:tcPr>
          <w:p w14:paraId="6639B689" w14:textId="2E3A60FC" w:rsidR="00636621" w:rsidRDefault="00A905D9" w:rsidP="00960744">
            <w:pPr>
              <w:rPr>
                <w:rFonts w:ascii="Arial" w:hAnsi="Arial" w:cs="Arial"/>
              </w:rPr>
            </w:pPr>
            <w:bookmarkStart w:id="2" w:name="_Hlk159335206"/>
            <w:r>
              <w:rPr>
                <w:rFonts w:ascii="Arial" w:hAnsi="Arial" w:cs="Arial"/>
              </w:rPr>
              <w:t xml:space="preserve">The decision enables </w:t>
            </w:r>
            <w:r w:rsidR="00636621">
              <w:rPr>
                <w:rFonts w:ascii="Arial" w:hAnsi="Arial" w:cs="Arial"/>
              </w:rPr>
              <w:t>tree works to be undertaken that</w:t>
            </w:r>
            <w:r w:rsidR="00BD6F92">
              <w:rPr>
                <w:rFonts w:ascii="Arial" w:hAnsi="Arial" w:cs="Arial"/>
              </w:rPr>
              <w:t xml:space="preserve"> will</w:t>
            </w:r>
            <w:r w:rsidR="00636621">
              <w:rPr>
                <w:rFonts w:ascii="Arial" w:hAnsi="Arial" w:cs="Arial"/>
              </w:rPr>
              <w:t xml:space="preserve"> allow the main contractor to commence site works in Ju</w:t>
            </w:r>
            <w:r w:rsidR="00863D32">
              <w:rPr>
                <w:rFonts w:ascii="Arial" w:hAnsi="Arial" w:cs="Arial"/>
              </w:rPr>
              <w:t>ly</w:t>
            </w:r>
            <w:r w:rsidR="00636621">
              <w:rPr>
                <w:rFonts w:ascii="Arial" w:hAnsi="Arial" w:cs="Arial"/>
              </w:rPr>
              <w:t xml:space="preserve"> 2024</w:t>
            </w:r>
            <w:r w:rsidR="00863D32">
              <w:rPr>
                <w:rFonts w:ascii="Arial" w:hAnsi="Arial" w:cs="Arial"/>
              </w:rPr>
              <w:t xml:space="preserve"> and deliver completion by the Growth Deal funding deadline of 31</w:t>
            </w:r>
            <w:r w:rsidR="00BD6F92">
              <w:rPr>
                <w:rFonts w:ascii="Arial" w:hAnsi="Arial" w:cs="Arial"/>
              </w:rPr>
              <w:t xml:space="preserve"> March </w:t>
            </w:r>
            <w:r w:rsidR="00863D32">
              <w:rPr>
                <w:rFonts w:ascii="Arial" w:hAnsi="Arial" w:cs="Arial"/>
              </w:rPr>
              <w:t>2025</w:t>
            </w:r>
            <w:r w:rsidR="00983B52">
              <w:rPr>
                <w:rFonts w:ascii="Arial" w:hAnsi="Arial" w:cs="Arial"/>
              </w:rPr>
              <w:t>, subject to planning permission being granted for the development.</w:t>
            </w:r>
          </w:p>
          <w:bookmarkEnd w:id="2"/>
          <w:p w14:paraId="196B524E" w14:textId="61C6C77A" w:rsidR="00BD6F92" w:rsidRPr="00A96C08" w:rsidRDefault="00BD6F92" w:rsidP="00B70E40">
            <w:pPr>
              <w:rPr>
                <w:rFonts w:ascii="Arial" w:hAnsi="Arial" w:cs="Arial"/>
              </w:rPr>
            </w:pPr>
          </w:p>
        </w:tc>
      </w:tr>
      <w:tr w:rsidR="00DC2E8D" w14:paraId="196B5252" w14:textId="77777777" w:rsidTr="00C51793">
        <w:tc>
          <w:tcPr>
            <w:tcW w:w="2440" w:type="dxa"/>
          </w:tcPr>
          <w:p w14:paraId="196B5250" w14:textId="10A75EBE"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7484" w:type="dxa"/>
          </w:tcPr>
          <w:p w14:paraId="476BF773" w14:textId="31826B9B" w:rsidR="0084347D" w:rsidRDefault="00D05496" w:rsidP="00A905D9">
            <w:r>
              <w:rPr>
                <w:rFonts w:ascii="Arial" w:hAnsi="Arial" w:cs="Arial"/>
              </w:rPr>
              <w:t>As set out above</w:t>
            </w:r>
            <w:r w:rsidR="00C60346">
              <w:rPr>
                <w:rFonts w:ascii="Arial" w:hAnsi="Arial" w:cs="Arial"/>
              </w:rPr>
              <w:t>,</w:t>
            </w:r>
            <w:r>
              <w:rPr>
                <w:rFonts w:ascii="Arial" w:hAnsi="Arial" w:cs="Arial"/>
              </w:rPr>
              <w:t xml:space="preserve"> </w:t>
            </w:r>
            <w:bookmarkStart w:id="3" w:name="_Hlk159335180"/>
            <w:r>
              <w:rPr>
                <w:rFonts w:ascii="Arial" w:hAnsi="Arial" w:cs="Arial"/>
              </w:rPr>
              <w:t xml:space="preserve">the programme to deliver the Oxpens River Bridge is being dictated by the deadline for the </w:t>
            </w:r>
            <w:r w:rsidR="00BD6F92">
              <w:rPr>
                <w:rFonts w:ascii="Arial" w:hAnsi="Arial" w:cs="Arial"/>
              </w:rPr>
              <w:t xml:space="preserve">spending of </w:t>
            </w:r>
            <w:r>
              <w:rPr>
                <w:rFonts w:ascii="Arial" w:hAnsi="Arial" w:cs="Arial"/>
              </w:rPr>
              <w:t xml:space="preserve">Growth Deal </w:t>
            </w:r>
            <w:r w:rsidR="00BD6F92">
              <w:rPr>
                <w:rFonts w:ascii="Arial" w:hAnsi="Arial" w:cs="Arial"/>
              </w:rPr>
              <w:t>funding</w:t>
            </w:r>
            <w:r>
              <w:rPr>
                <w:rFonts w:ascii="Arial" w:hAnsi="Arial" w:cs="Arial"/>
              </w:rPr>
              <w:t xml:space="preserve">. </w:t>
            </w:r>
            <w:bookmarkEnd w:id="3"/>
          </w:p>
          <w:p w14:paraId="01554C49" w14:textId="77777777" w:rsidR="0084347D" w:rsidRDefault="0084347D" w:rsidP="00A905D9"/>
          <w:p w14:paraId="366D72C3" w14:textId="5A298050" w:rsidR="00B70E40" w:rsidRDefault="00D05496" w:rsidP="00A905D9">
            <w:pPr>
              <w:rPr>
                <w:rFonts w:ascii="Arial" w:hAnsi="Arial" w:cs="Arial"/>
              </w:rPr>
            </w:pPr>
            <w:bookmarkStart w:id="4" w:name="_Hlk159335231"/>
            <w:r>
              <w:rPr>
                <w:rFonts w:ascii="Arial" w:hAnsi="Arial" w:cs="Arial"/>
              </w:rPr>
              <w:t>The removal</w:t>
            </w:r>
            <w:r w:rsidR="00863D32">
              <w:rPr>
                <w:rFonts w:ascii="Arial" w:hAnsi="Arial" w:cs="Arial"/>
              </w:rPr>
              <w:t>/ reduction</w:t>
            </w:r>
            <w:r>
              <w:rPr>
                <w:rFonts w:ascii="Arial" w:hAnsi="Arial" w:cs="Arial"/>
              </w:rPr>
              <w:t xml:space="preserve"> of the trees reduces the</w:t>
            </w:r>
            <w:r w:rsidR="00863D32">
              <w:rPr>
                <w:rFonts w:ascii="Arial" w:hAnsi="Arial" w:cs="Arial"/>
              </w:rPr>
              <w:t xml:space="preserve"> sign</w:t>
            </w:r>
            <w:r w:rsidR="00B70E40">
              <w:rPr>
                <w:rFonts w:ascii="Arial" w:hAnsi="Arial" w:cs="Arial"/>
              </w:rPr>
              <w:t>i</w:t>
            </w:r>
            <w:r w:rsidR="00863D32">
              <w:rPr>
                <w:rFonts w:ascii="Arial" w:hAnsi="Arial" w:cs="Arial"/>
              </w:rPr>
              <w:t>ficant</w:t>
            </w:r>
            <w:r>
              <w:rPr>
                <w:rFonts w:ascii="Arial" w:hAnsi="Arial" w:cs="Arial"/>
              </w:rPr>
              <w:t xml:space="preserve"> risk that the programme </w:t>
            </w:r>
            <w:r w:rsidR="004955CB">
              <w:rPr>
                <w:rFonts w:ascii="Arial" w:hAnsi="Arial" w:cs="Arial"/>
              </w:rPr>
              <w:t>c</w:t>
            </w:r>
            <w:r>
              <w:rPr>
                <w:rFonts w:ascii="Arial" w:hAnsi="Arial" w:cs="Arial"/>
              </w:rPr>
              <w:t>ould be stalled by nesting birds</w:t>
            </w:r>
            <w:r w:rsidR="00863D32">
              <w:rPr>
                <w:rFonts w:ascii="Arial" w:hAnsi="Arial" w:cs="Arial"/>
              </w:rPr>
              <w:t>,</w:t>
            </w:r>
            <w:r>
              <w:rPr>
                <w:rFonts w:ascii="Arial" w:hAnsi="Arial" w:cs="Arial"/>
              </w:rPr>
              <w:t xml:space="preserve"> preventing the removal of trees </w:t>
            </w:r>
            <w:r w:rsidR="00863D32">
              <w:rPr>
                <w:rFonts w:ascii="Arial" w:hAnsi="Arial" w:cs="Arial"/>
              </w:rPr>
              <w:t xml:space="preserve">during the nesting season </w:t>
            </w:r>
            <w:r w:rsidR="00863D32" w:rsidRPr="00863D32">
              <w:rPr>
                <w:rFonts w:ascii="Arial" w:hAnsi="Arial" w:cs="Arial"/>
              </w:rPr>
              <w:t>(01/03/24 to 31/08/24)</w:t>
            </w:r>
            <w:r w:rsidRPr="00863D32">
              <w:rPr>
                <w:rFonts w:ascii="Arial" w:hAnsi="Arial" w:cs="Arial"/>
              </w:rPr>
              <w:t>.</w:t>
            </w:r>
          </w:p>
          <w:p w14:paraId="0E573698" w14:textId="54C8CD01" w:rsidR="00863D32" w:rsidRDefault="00D05496" w:rsidP="00A905D9">
            <w:pPr>
              <w:rPr>
                <w:rFonts w:ascii="Arial" w:hAnsi="Arial" w:cs="Arial"/>
              </w:rPr>
            </w:pPr>
            <w:r>
              <w:rPr>
                <w:rFonts w:ascii="Arial" w:hAnsi="Arial" w:cs="Arial"/>
              </w:rPr>
              <w:t xml:space="preserve"> </w:t>
            </w:r>
          </w:p>
          <w:p w14:paraId="29A97FE8" w14:textId="42332294" w:rsidR="00863D32" w:rsidRDefault="00B70E40" w:rsidP="00A905D9">
            <w:pPr>
              <w:rPr>
                <w:rFonts w:ascii="Arial" w:hAnsi="Arial" w:cs="Arial"/>
              </w:rPr>
            </w:pPr>
            <w:r>
              <w:rPr>
                <w:rFonts w:ascii="Arial" w:hAnsi="Arial" w:cs="Arial"/>
              </w:rPr>
              <w:t>If the works programme w</w:t>
            </w:r>
            <w:r w:rsidR="00C60346">
              <w:rPr>
                <w:rFonts w:ascii="Arial" w:hAnsi="Arial" w:cs="Arial"/>
              </w:rPr>
              <w:t>ere</w:t>
            </w:r>
            <w:r>
              <w:rPr>
                <w:rFonts w:ascii="Arial" w:hAnsi="Arial" w:cs="Arial"/>
              </w:rPr>
              <w:t xml:space="preserve"> delayed by bird nesting it would mean</w:t>
            </w:r>
            <w:r w:rsidRPr="0084347D">
              <w:rPr>
                <w:rFonts w:ascii="Arial" w:hAnsi="Arial" w:cs="Arial"/>
              </w:rPr>
              <w:t xml:space="preserve"> that the bridge could not be delivered on time and the funding would be lost</w:t>
            </w:r>
            <w:r>
              <w:rPr>
                <w:rFonts w:ascii="Arial" w:hAnsi="Arial" w:cs="Arial"/>
              </w:rPr>
              <w:t>.</w:t>
            </w:r>
          </w:p>
          <w:p w14:paraId="4E1AFDAF" w14:textId="77777777" w:rsidR="00B70E40" w:rsidRDefault="00B70E40" w:rsidP="00A905D9">
            <w:pPr>
              <w:rPr>
                <w:rFonts w:ascii="Arial" w:hAnsi="Arial" w:cs="Arial"/>
              </w:rPr>
            </w:pPr>
          </w:p>
          <w:p w14:paraId="1CFF33AC" w14:textId="46C42F92" w:rsidR="00A905D9" w:rsidRDefault="00D05496" w:rsidP="00A905D9">
            <w:pPr>
              <w:rPr>
                <w:rFonts w:ascii="Arial" w:hAnsi="Arial" w:cs="Arial"/>
              </w:rPr>
            </w:pPr>
            <w:r>
              <w:rPr>
                <w:rFonts w:ascii="Arial" w:hAnsi="Arial" w:cs="Arial"/>
              </w:rPr>
              <w:t>The development proposals</w:t>
            </w:r>
            <w:r w:rsidR="00863D32">
              <w:rPr>
                <w:rFonts w:ascii="Arial" w:hAnsi="Arial" w:cs="Arial"/>
              </w:rPr>
              <w:t>, to be delivered by March 2025,</w:t>
            </w:r>
            <w:r>
              <w:rPr>
                <w:rFonts w:ascii="Arial" w:hAnsi="Arial" w:cs="Arial"/>
              </w:rPr>
              <w:t xml:space="preserve"> include additional tree planting</w:t>
            </w:r>
            <w:r w:rsidR="00863D32">
              <w:rPr>
                <w:rFonts w:ascii="Arial" w:hAnsi="Arial" w:cs="Arial"/>
              </w:rPr>
              <w:t>, landscape improvements</w:t>
            </w:r>
            <w:r>
              <w:rPr>
                <w:rFonts w:ascii="Arial" w:hAnsi="Arial" w:cs="Arial"/>
              </w:rPr>
              <w:t xml:space="preserve"> and </w:t>
            </w:r>
            <w:r w:rsidR="00863D32">
              <w:rPr>
                <w:rFonts w:ascii="Arial" w:hAnsi="Arial" w:cs="Arial"/>
              </w:rPr>
              <w:t xml:space="preserve">the </w:t>
            </w:r>
            <w:r>
              <w:rPr>
                <w:rFonts w:ascii="Arial" w:hAnsi="Arial" w:cs="Arial"/>
              </w:rPr>
              <w:t>achievement of bio</w:t>
            </w:r>
            <w:r w:rsidR="00B70E40">
              <w:rPr>
                <w:rFonts w:ascii="Arial" w:hAnsi="Arial" w:cs="Arial"/>
              </w:rPr>
              <w:t>-</w:t>
            </w:r>
            <w:r>
              <w:rPr>
                <w:rFonts w:ascii="Arial" w:hAnsi="Arial" w:cs="Arial"/>
              </w:rPr>
              <w:t xml:space="preserve">diversity net gain. </w:t>
            </w:r>
            <w:bookmarkEnd w:id="4"/>
          </w:p>
          <w:p w14:paraId="196B5251" w14:textId="463BB052" w:rsidR="0032205F" w:rsidRPr="00A96C08" w:rsidRDefault="0032205F" w:rsidP="00A905D9">
            <w:pPr>
              <w:rPr>
                <w:rFonts w:ascii="Arial" w:hAnsi="Arial" w:cs="Arial"/>
              </w:rPr>
            </w:pPr>
          </w:p>
        </w:tc>
      </w:tr>
      <w:tr w:rsidR="00B87695" w14:paraId="196B5255" w14:textId="77777777" w:rsidTr="00C51793">
        <w:tc>
          <w:tcPr>
            <w:tcW w:w="2440" w:type="dxa"/>
          </w:tcPr>
          <w:p w14:paraId="196B5253" w14:textId="3EC260DB"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7484" w:type="dxa"/>
          </w:tcPr>
          <w:p w14:paraId="196B5254" w14:textId="26D415D8" w:rsidR="00E97024" w:rsidRPr="00A96C08" w:rsidRDefault="0032205F" w:rsidP="008A22C6">
            <w:pPr>
              <w:rPr>
                <w:rFonts w:ascii="Arial" w:hAnsi="Arial" w:cs="Arial"/>
              </w:rPr>
            </w:pPr>
            <w:r w:rsidRPr="00E71EF2">
              <w:rPr>
                <w:rFonts w:ascii="Arial" w:hAnsi="Arial" w:cs="Arial"/>
              </w:rPr>
              <w:t>Tom Bridgman</w:t>
            </w:r>
            <w:r w:rsidR="00E71EF2" w:rsidRPr="00E71EF2">
              <w:rPr>
                <w:rFonts w:ascii="Arial" w:hAnsi="Arial" w:cs="Arial"/>
              </w:rPr>
              <w:t>,</w:t>
            </w:r>
            <w:r w:rsidRPr="00E71EF2">
              <w:rPr>
                <w:rFonts w:ascii="Arial" w:hAnsi="Arial" w:cs="Arial"/>
              </w:rPr>
              <w:t xml:space="preserve"> </w:t>
            </w:r>
            <w:r w:rsidR="00E71EF2" w:rsidRPr="00E71EF2">
              <w:rPr>
                <w:rFonts w:ascii="Arial" w:hAnsi="Arial" w:cs="Arial"/>
              </w:rPr>
              <w:t xml:space="preserve">Executive Director </w:t>
            </w:r>
            <w:r w:rsidR="00C60346">
              <w:rPr>
                <w:rFonts w:ascii="Arial" w:hAnsi="Arial" w:cs="Arial"/>
              </w:rPr>
              <w:t>(</w:t>
            </w:r>
            <w:r w:rsidR="00E71EF2" w:rsidRPr="00E71EF2">
              <w:rPr>
                <w:rFonts w:ascii="Arial" w:hAnsi="Arial" w:cs="Arial"/>
              </w:rPr>
              <w:t>Development</w:t>
            </w:r>
            <w:r w:rsidR="00C60346">
              <w:rPr>
                <w:rFonts w:ascii="Arial" w:hAnsi="Arial" w:cs="Arial"/>
              </w:rPr>
              <w:t>)</w:t>
            </w:r>
          </w:p>
        </w:tc>
      </w:tr>
      <w:tr w:rsidR="006F6326" w14:paraId="196B5258" w14:textId="77777777" w:rsidTr="00C51793">
        <w:tc>
          <w:tcPr>
            <w:tcW w:w="2440" w:type="dxa"/>
          </w:tcPr>
          <w:p w14:paraId="196B5256" w14:textId="3156BB30"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7484" w:type="dxa"/>
          </w:tcPr>
          <w:p w14:paraId="249AE942" w14:textId="1E659275" w:rsidR="0032205F" w:rsidRPr="00C60346" w:rsidRDefault="00C60346" w:rsidP="00C60346">
            <w:pPr>
              <w:rPr>
                <w:rFonts w:ascii="Arial" w:hAnsi="Arial" w:cs="Arial"/>
              </w:rPr>
            </w:pPr>
            <w:bookmarkStart w:id="5" w:name="_Hlk159335384"/>
            <w:r>
              <w:rPr>
                <w:rFonts w:ascii="Arial" w:hAnsi="Arial" w:cs="Arial"/>
              </w:rPr>
              <w:t>The</w:t>
            </w:r>
            <w:r w:rsidR="0032205F">
              <w:rPr>
                <w:rFonts w:ascii="Arial" w:hAnsi="Arial" w:cs="Arial"/>
              </w:rPr>
              <w:t xml:space="preserve"> option</w:t>
            </w:r>
            <w:r>
              <w:rPr>
                <w:rFonts w:ascii="Arial" w:hAnsi="Arial" w:cs="Arial"/>
              </w:rPr>
              <w:t xml:space="preserve"> to l</w:t>
            </w:r>
            <w:r w:rsidR="00E95412" w:rsidRPr="00C60346">
              <w:rPr>
                <w:rFonts w:ascii="Arial" w:hAnsi="Arial" w:cs="Arial"/>
              </w:rPr>
              <w:t xml:space="preserve">eave </w:t>
            </w:r>
            <w:r>
              <w:rPr>
                <w:rFonts w:ascii="Arial" w:hAnsi="Arial" w:cs="Arial"/>
              </w:rPr>
              <w:t xml:space="preserve">the </w:t>
            </w:r>
            <w:r w:rsidR="00E95412" w:rsidRPr="00C60346">
              <w:rPr>
                <w:rFonts w:ascii="Arial" w:hAnsi="Arial" w:cs="Arial"/>
              </w:rPr>
              <w:t xml:space="preserve">trees in situ and accept </w:t>
            </w:r>
            <w:r>
              <w:rPr>
                <w:rFonts w:ascii="Arial" w:hAnsi="Arial" w:cs="Arial"/>
              </w:rPr>
              <w:t xml:space="preserve">the </w:t>
            </w:r>
            <w:r w:rsidR="00E95412" w:rsidRPr="00C60346">
              <w:rPr>
                <w:rFonts w:ascii="Arial" w:hAnsi="Arial" w:cs="Arial"/>
              </w:rPr>
              <w:t>risk of nesting birds</w:t>
            </w:r>
            <w:r>
              <w:rPr>
                <w:rFonts w:ascii="Arial" w:hAnsi="Arial" w:cs="Arial"/>
              </w:rPr>
              <w:t xml:space="preserve"> was considered</w:t>
            </w:r>
            <w:r w:rsidR="00AA20FD" w:rsidRPr="00C60346">
              <w:rPr>
                <w:rFonts w:ascii="Arial" w:hAnsi="Arial" w:cs="Arial"/>
              </w:rPr>
              <w:t>.</w:t>
            </w:r>
            <w:r w:rsidR="00E95412" w:rsidRPr="00C60346">
              <w:rPr>
                <w:rFonts w:ascii="Arial" w:hAnsi="Arial" w:cs="Arial"/>
              </w:rPr>
              <w:t xml:space="preserve">  </w:t>
            </w:r>
          </w:p>
          <w:p w14:paraId="2153B2DF" w14:textId="77777777" w:rsidR="00C60346" w:rsidRDefault="00C60346" w:rsidP="00C60346">
            <w:pPr>
              <w:pStyle w:val="ListParagraph"/>
              <w:rPr>
                <w:rFonts w:ascii="Arial" w:hAnsi="Arial" w:cs="Arial"/>
              </w:rPr>
            </w:pPr>
          </w:p>
          <w:p w14:paraId="386D4763" w14:textId="77777777" w:rsidR="0032205F" w:rsidRDefault="00C60346" w:rsidP="00C60346">
            <w:pPr>
              <w:rPr>
                <w:rFonts w:ascii="Arial" w:hAnsi="Arial" w:cs="Arial"/>
              </w:rPr>
            </w:pPr>
            <w:r>
              <w:rPr>
                <w:rFonts w:ascii="Arial" w:hAnsi="Arial" w:cs="Arial"/>
              </w:rPr>
              <w:t>This option</w:t>
            </w:r>
            <w:r w:rsidR="006A7A6E" w:rsidRPr="00C60346">
              <w:rPr>
                <w:rFonts w:ascii="Arial" w:hAnsi="Arial" w:cs="Arial"/>
              </w:rPr>
              <w:t xml:space="preserve"> was rejected as</w:t>
            </w:r>
            <w:r>
              <w:rPr>
                <w:rFonts w:ascii="Arial" w:hAnsi="Arial" w:cs="Arial"/>
              </w:rPr>
              <w:t xml:space="preserve"> </w:t>
            </w:r>
            <w:r w:rsidRPr="00C60346">
              <w:rPr>
                <w:rFonts w:ascii="Arial" w:hAnsi="Arial" w:cs="Arial"/>
              </w:rPr>
              <w:t xml:space="preserve">given the nature of the trees and surroundings </w:t>
            </w:r>
            <w:r>
              <w:rPr>
                <w:rFonts w:ascii="Arial" w:hAnsi="Arial" w:cs="Arial"/>
              </w:rPr>
              <w:t xml:space="preserve">it is considered likely </w:t>
            </w:r>
            <w:r w:rsidRPr="00C60346">
              <w:rPr>
                <w:rFonts w:ascii="Arial" w:hAnsi="Arial" w:cs="Arial"/>
              </w:rPr>
              <w:t>that nesting would occur</w:t>
            </w:r>
            <w:r>
              <w:rPr>
                <w:rFonts w:ascii="Arial" w:hAnsi="Arial" w:cs="Arial"/>
              </w:rPr>
              <w:t>.  T</w:t>
            </w:r>
            <w:r w:rsidRPr="00C60346">
              <w:rPr>
                <w:rFonts w:ascii="Arial" w:hAnsi="Arial" w:cs="Arial"/>
              </w:rPr>
              <w:t xml:space="preserve">he risk of programme delay </w:t>
            </w:r>
            <w:r>
              <w:rPr>
                <w:rFonts w:ascii="Arial" w:hAnsi="Arial" w:cs="Arial"/>
              </w:rPr>
              <w:t>wa</w:t>
            </w:r>
            <w:r w:rsidRPr="00C60346">
              <w:rPr>
                <w:rFonts w:ascii="Arial" w:hAnsi="Arial" w:cs="Arial"/>
              </w:rPr>
              <w:t>s considered unacceptable</w:t>
            </w:r>
            <w:r>
              <w:rPr>
                <w:rFonts w:ascii="Arial" w:hAnsi="Arial" w:cs="Arial"/>
              </w:rPr>
              <w:t xml:space="preserve">, as </w:t>
            </w:r>
            <w:r w:rsidR="00200A96" w:rsidRPr="00C60346">
              <w:rPr>
                <w:rFonts w:ascii="Arial" w:hAnsi="Arial" w:cs="Arial"/>
              </w:rPr>
              <w:t xml:space="preserve">the failure to deliver completion by the Growth Deal Funding deadline at the end of March 2025 would compromise the Council’s aim of supporting active travel by providing a pedestrian </w:t>
            </w:r>
            <w:r w:rsidR="006A7A6E" w:rsidRPr="00C60346">
              <w:rPr>
                <w:rFonts w:ascii="Arial" w:hAnsi="Arial" w:cs="Arial"/>
              </w:rPr>
              <w:t xml:space="preserve">and cycle bridge </w:t>
            </w:r>
            <w:r w:rsidR="00200A96" w:rsidRPr="00C60346">
              <w:rPr>
                <w:rFonts w:ascii="Arial" w:hAnsi="Arial" w:cs="Arial"/>
              </w:rPr>
              <w:t xml:space="preserve">over the </w:t>
            </w:r>
            <w:proofErr w:type="gramStart"/>
            <w:r w:rsidR="00200A96" w:rsidRPr="00C60346">
              <w:rPr>
                <w:rFonts w:ascii="Arial" w:hAnsi="Arial" w:cs="Arial"/>
              </w:rPr>
              <w:t xml:space="preserve">river, </w:t>
            </w:r>
            <w:r w:rsidR="001E304C">
              <w:rPr>
                <w:rFonts w:ascii="Arial" w:hAnsi="Arial" w:cs="Arial"/>
              </w:rPr>
              <w:t>and</w:t>
            </w:r>
            <w:proofErr w:type="gramEnd"/>
            <w:r w:rsidR="001E304C">
              <w:rPr>
                <w:rFonts w:ascii="Arial" w:hAnsi="Arial" w:cs="Arial"/>
              </w:rPr>
              <w:t xml:space="preserve"> </w:t>
            </w:r>
            <w:r w:rsidR="00200A96" w:rsidRPr="00C60346">
              <w:rPr>
                <w:rFonts w:ascii="Arial" w:hAnsi="Arial" w:cs="Arial"/>
              </w:rPr>
              <w:t xml:space="preserve">facilitating movement between Osney Mead and the City Centre as well as north-south links </w:t>
            </w:r>
            <w:r w:rsidR="00F25EDB" w:rsidRPr="00C60346">
              <w:rPr>
                <w:rFonts w:ascii="Arial" w:hAnsi="Arial" w:cs="Arial"/>
              </w:rPr>
              <w:t>to the city centre and rail station.</w:t>
            </w:r>
            <w:bookmarkEnd w:id="5"/>
          </w:p>
          <w:p w14:paraId="196B5257" w14:textId="241AEFC6" w:rsidR="001E304C" w:rsidRPr="00C60346" w:rsidRDefault="001E304C" w:rsidP="00C60346">
            <w:pPr>
              <w:rPr>
                <w:rFonts w:ascii="Arial" w:hAnsi="Arial" w:cs="Arial"/>
              </w:rPr>
            </w:pPr>
          </w:p>
        </w:tc>
      </w:tr>
      <w:tr w:rsidR="006F6326" w14:paraId="196B525B" w14:textId="77777777" w:rsidTr="00C51793">
        <w:trPr>
          <w:trHeight w:val="1018"/>
        </w:trPr>
        <w:tc>
          <w:tcPr>
            <w:tcW w:w="2440" w:type="dxa"/>
          </w:tcPr>
          <w:p w14:paraId="196B5259" w14:textId="53586D3E"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7484" w:type="dxa"/>
          </w:tcPr>
          <w:p w14:paraId="196B525A" w14:textId="5738F7A3" w:rsidR="006F6326" w:rsidRPr="00C51793" w:rsidRDefault="006C76FA" w:rsidP="008A22C6">
            <w:pPr>
              <w:rPr>
                <w:rFonts w:ascii="Arial" w:hAnsi="Arial" w:cs="Arial"/>
                <w:highlight w:val="yellow"/>
              </w:rPr>
            </w:pPr>
            <w:r w:rsidRPr="00D5207C">
              <w:rPr>
                <w:rFonts w:ascii="Arial" w:hAnsi="Arial" w:cs="Arial"/>
              </w:rPr>
              <w:t xml:space="preserve">PCSA </w:t>
            </w:r>
            <w:r w:rsidR="009F35AF" w:rsidRPr="00D5207C">
              <w:rPr>
                <w:rFonts w:ascii="Arial" w:hAnsi="Arial" w:cs="Arial"/>
              </w:rPr>
              <w:t>Document (05</w:t>
            </w:r>
            <w:r w:rsidR="009F35AF" w:rsidRPr="009F35AF">
              <w:rPr>
                <w:rFonts w:ascii="Arial" w:hAnsi="Arial" w:cs="Arial"/>
              </w:rPr>
              <w:t xml:space="preserve"> CEN Pre Con Services Opt A - Oxpen</w:t>
            </w:r>
            <w:r w:rsidR="009F35AF">
              <w:rPr>
                <w:rFonts w:ascii="Arial" w:hAnsi="Arial" w:cs="Arial"/>
              </w:rPr>
              <w:t>s</w:t>
            </w:r>
            <w:r w:rsidR="009F35AF" w:rsidRPr="009F35AF">
              <w:rPr>
                <w:rFonts w:ascii="Arial" w:hAnsi="Arial" w:cs="Arial"/>
              </w:rPr>
              <w:t xml:space="preserve"> River Footbridge - Rev6</w:t>
            </w:r>
            <w:r w:rsidR="009F35AF">
              <w:rPr>
                <w:rFonts w:ascii="Arial" w:hAnsi="Arial" w:cs="Arial"/>
              </w:rPr>
              <w:t>)</w:t>
            </w:r>
            <w:r w:rsidR="00C51793">
              <w:rPr>
                <w:rFonts w:ascii="Arial" w:hAnsi="Arial" w:cs="Arial"/>
              </w:rPr>
              <w:t>.  This is exempt by reason of commercial confidentiality.</w:t>
            </w:r>
          </w:p>
        </w:tc>
      </w:tr>
      <w:tr w:rsidR="006F6326" w14:paraId="196B525E" w14:textId="77777777" w:rsidTr="00C51793">
        <w:tc>
          <w:tcPr>
            <w:tcW w:w="2440" w:type="dxa"/>
          </w:tcPr>
          <w:p w14:paraId="196B525C" w14:textId="0263B9EB" w:rsidR="003505E0" w:rsidRDefault="003505E0" w:rsidP="00C251F7">
            <w:pPr>
              <w:spacing w:before="120" w:after="120"/>
              <w:rPr>
                <w:rFonts w:ascii="Arial" w:hAnsi="Arial" w:cs="Arial"/>
                <w:b/>
              </w:rPr>
            </w:pPr>
            <w:r>
              <w:rPr>
                <w:rFonts w:ascii="Arial" w:hAnsi="Arial" w:cs="Arial"/>
                <w:b/>
              </w:rPr>
              <w:lastRenderedPageBreak/>
              <w:t>Key or Not Key</w:t>
            </w:r>
            <w:r w:rsidR="00AC5899">
              <w:rPr>
                <w:rFonts w:ascii="Arial" w:hAnsi="Arial" w:cs="Arial"/>
                <w:b/>
              </w:rPr>
              <w:t>:</w:t>
            </w:r>
            <w:r>
              <w:rPr>
                <w:rFonts w:ascii="Arial" w:hAnsi="Arial" w:cs="Arial"/>
                <w:b/>
              </w:rPr>
              <w:t xml:space="preserve"> </w:t>
            </w:r>
          </w:p>
        </w:tc>
        <w:tc>
          <w:tcPr>
            <w:tcW w:w="7484" w:type="dxa"/>
          </w:tcPr>
          <w:p w14:paraId="196B525D" w14:textId="7F352F31" w:rsidR="006F6326" w:rsidRPr="00A96C08" w:rsidRDefault="00D05496" w:rsidP="008A22C6">
            <w:pPr>
              <w:rPr>
                <w:rFonts w:ascii="Arial" w:hAnsi="Arial" w:cs="Arial"/>
              </w:rPr>
            </w:pPr>
            <w:r>
              <w:rPr>
                <w:rFonts w:ascii="Arial" w:hAnsi="Arial" w:cs="Arial"/>
              </w:rPr>
              <w:t xml:space="preserve">Not </w:t>
            </w:r>
            <w:r w:rsidR="006C76FA">
              <w:rPr>
                <w:rFonts w:ascii="Arial" w:hAnsi="Arial" w:cs="Arial"/>
              </w:rPr>
              <w:t xml:space="preserve">Key </w:t>
            </w:r>
          </w:p>
        </w:tc>
      </w:tr>
      <w:tr w:rsidR="006F6326" w14:paraId="196B5261" w14:textId="77777777" w:rsidTr="00C51793">
        <w:tc>
          <w:tcPr>
            <w:tcW w:w="2440" w:type="dxa"/>
          </w:tcPr>
          <w:p w14:paraId="26014418" w14:textId="77777777" w:rsidR="006F6326"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p w14:paraId="196B525F" w14:textId="21ADDCED" w:rsidR="001E304C" w:rsidRPr="008E4629" w:rsidRDefault="001E304C" w:rsidP="003B1236">
            <w:pPr>
              <w:spacing w:before="120" w:after="120"/>
              <w:rPr>
                <w:rFonts w:ascii="Arial" w:hAnsi="Arial" w:cs="Arial"/>
              </w:rPr>
            </w:pPr>
          </w:p>
        </w:tc>
        <w:tc>
          <w:tcPr>
            <w:tcW w:w="7484" w:type="dxa"/>
          </w:tcPr>
          <w:p w14:paraId="5D1F9CDA" w14:textId="689E827C" w:rsidR="00D05496" w:rsidRDefault="00D05496">
            <w:pPr>
              <w:rPr>
                <w:rFonts w:ascii="Arial" w:hAnsi="Arial" w:cs="Arial"/>
              </w:rPr>
            </w:pPr>
            <w:r>
              <w:rPr>
                <w:rFonts w:ascii="Arial" w:hAnsi="Arial" w:cs="Arial"/>
              </w:rPr>
              <w:t>The works invo</w:t>
            </w:r>
            <w:r w:rsidR="0020471F">
              <w:rPr>
                <w:rFonts w:ascii="Arial" w:hAnsi="Arial" w:cs="Arial"/>
              </w:rPr>
              <w:t>lved in this case are selective</w:t>
            </w:r>
            <w:r>
              <w:rPr>
                <w:rFonts w:ascii="Arial" w:hAnsi="Arial" w:cs="Arial"/>
              </w:rPr>
              <w:t xml:space="preserve"> tree removal and do not impact the use of the land, which will be maintained as open space</w:t>
            </w:r>
            <w:r w:rsidR="0020471F">
              <w:rPr>
                <w:rFonts w:ascii="Arial" w:hAnsi="Arial" w:cs="Arial"/>
              </w:rPr>
              <w:t>. P</w:t>
            </w:r>
            <w:r>
              <w:rPr>
                <w:rFonts w:ascii="Arial" w:hAnsi="Arial" w:cs="Arial"/>
              </w:rPr>
              <w:t>roposals include replacement planting</w:t>
            </w:r>
            <w:r w:rsidR="0020471F">
              <w:rPr>
                <w:rFonts w:ascii="Arial" w:hAnsi="Arial" w:cs="Arial"/>
              </w:rPr>
              <w:t xml:space="preserve"> so </w:t>
            </w:r>
            <w:r w:rsidR="001E304C">
              <w:rPr>
                <w:rFonts w:ascii="Arial" w:hAnsi="Arial" w:cs="Arial"/>
              </w:rPr>
              <w:t xml:space="preserve">that </w:t>
            </w:r>
            <w:r w:rsidR="0020471F">
              <w:rPr>
                <w:rFonts w:ascii="Arial" w:hAnsi="Arial" w:cs="Arial"/>
              </w:rPr>
              <w:t>the overall character on the area is maintained. The decision does not therefore significantly affect either</w:t>
            </w:r>
            <w:r w:rsidR="001E304C">
              <w:rPr>
                <w:rFonts w:ascii="Arial" w:hAnsi="Arial" w:cs="Arial"/>
              </w:rPr>
              <w:t xml:space="preserve"> Osney &amp; St Thomas or Hinksey Park</w:t>
            </w:r>
            <w:r w:rsidR="0020471F">
              <w:rPr>
                <w:rFonts w:ascii="Arial" w:hAnsi="Arial" w:cs="Arial"/>
              </w:rPr>
              <w:t xml:space="preserve"> ward.</w:t>
            </w:r>
          </w:p>
          <w:p w14:paraId="196B5260" w14:textId="4586BD79" w:rsidR="001E304C" w:rsidRPr="00A96C08" w:rsidRDefault="001E304C">
            <w:pPr>
              <w:rPr>
                <w:rFonts w:ascii="Arial" w:hAnsi="Arial" w:cs="Arial"/>
              </w:rPr>
            </w:pPr>
          </w:p>
        </w:tc>
      </w:tr>
      <w:tr w:rsidR="006F6326" w14:paraId="196B5264" w14:textId="77777777" w:rsidTr="00C51793">
        <w:tc>
          <w:tcPr>
            <w:tcW w:w="2440" w:type="dxa"/>
          </w:tcPr>
          <w:p w14:paraId="196B5262" w14:textId="2400BF97" w:rsidR="006F6326" w:rsidRPr="00D5207C" w:rsidRDefault="006F6326" w:rsidP="008E4629">
            <w:pPr>
              <w:spacing w:before="120" w:after="120"/>
              <w:rPr>
                <w:rFonts w:ascii="Arial" w:hAnsi="Arial" w:cs="Arial"/>
                <w:b/>
              </w:rPr>
            </w:pPr>
            <w:r w:rsidRPr="00D5207C">
              <w:rPr>
                <w:rFonts w:ascii="Arial" w:hAnsi="Arial" w:cs="Arial"/>
                <w:b/>
              </w:rPr>
              <w:t>Declared conflict of interest</w:t>
            </w:r>
            <w:r w:rsidR="003B1236" w:rsidRPr="00D5207C">
              <w:rPr>
                <w:rFonts w:ascii="Arial" w:hAnsi="Arial" w:cs="Arial"/>
                <w:b/>
              </w:rPr>
              <w:t>:</w:t>
            </w:r>
          </w:p>
        </w:tc>
        <w:tc>
          <w:tcPr>
            <w:tcW w:w="7484" w:type="dxa"/>
          </w:tcPr>
          <w:p w14:paraId="196B5263" w14:textId="691FF05C" w:rsidR="006F6326" w:rsidRPr="00D5207C" w:rsidRDefault="006C76FA" w:rsidP="008A22C6">
            <w:pPr>
              <w:rPr>
                <w:rFonts w:ascii="Arial" w:hAnsi="Arial" w:cs="Arial"/>
              </w:rPr>
            </w:pPr>
            <w:r w:rsidRPr="00D5207C">
              <w:rPr>
                <w:rFonts w:ascii="Arial" w:hAnsi="Arial" w:cs="Arial"/>
              </w:rPr>
              <w:t xml:space="preserve">None </w:t>
            </w:r>
          </w:p>
        </w:tc>
      </w:tr>
      <w:tr w:rsidR="00B87695" w14:paraId="196B5269" w14:textId="77777777" w:rsidTr="00C51793">
        <w:tc>
          <w:tcPr>
            <w:tcW w:w="2440" w:type="dxa"/>
          </w:tcPr>
          <w:p w14:paraId="196B5265" w14:textId="77777777" w:rsidR="003505E0" w:rsidRPr="00D5207C" w:rsidRDefault="003505E0" w:rsidP="00231385">
            <w:pPr>
              <w:spacing w:before="120"/>
              <w:rPr>
                <w:rFonts w:ascii="Arial" w:hAnsi="Arial" w:cs="Arial"/>
                <w:b/>
              </w:rPr>
            </w:pPr>
            <w:r w:rsidRPr="00D5207C">
              <w:rPr>
                <w:rFonts w:ascii="Arial" w:hAnsi="Arial" w:cs="Arial"/>
                <w:b/>
              </w:rPr>
              <w:t>This form was completed by:</w:t>
            </w:r>
          </w:p>
          <w:p w14:paraId="196B5266" w14:textId="77777777" w:rsidR="003505E0" w:rsidRPr="00D5207C" w:rsidRDefault="003505E0" w:rsidP="003505E0">
            <w:pPr>
              <w:spacing w:before="120"/>
              <w:rPr>
                <w:rFonts w:ascii="Arial" w:hAnsi="Arial" w:cs="Arial"/>
                <w:b/>
              </w:rPr>
            </w:pPr>
            <w:r w:rsidRPr="00D5207C">
              <w:rPr>
                <w:rFonts w:ascii="Arial" w:hAnsi="Arial" w:cs="Arial"/>
                <w:b/>
              </w:rPr>
              <w:t>Name &amp; title:</w:t>
            </w:r>
          </w:p>
          <w:p w14:paraId="196B5267" w14:textId="77777777" w:rsidR="003505E0" w:rsidRDefault="003505E0" w:rsidP="00AC5899">
            <w:pPr>
              <w:spacing w:before="120" w:after="120"/>
              <w:rPr>
                <w:rFonts w:ascii="Arial" w:hAnsi="Arial" w:cs="Arial"/>
                <w:b/>
              </w:rPr>
            </w:pPr>
            <w:r w:rsidRPr="00D5207C">
              <w:rPr>
                <w:rFonts w:ascii="Arial" w:hAnsi="Arial" w:cs="Arial"/>
                <w:b/>
              </w:rPr>
              <w:t>Date:</w:t>
            </w:r>
          </w:p>
        </w:tc>
        <w:tc>
          <w:tcPr>
            <w:tcW w:w="7484" w:type="dxa"/>
          </w:tcPr>
          <w:p w14:paraId="53169C03" w14:textId="77777777" w:rsidR="00C82129" w:rsidRDefault="00311120" w:rsidP="008A22C6">
            <w:pPr>
              <w:rPr>
                <w:rFonts w:ascii="Arial" w:hAnsi="Arial" w:cs="Arial"/>
              </w:rPr>
            </w:pPr>
            <w:r>
              <w:rPr>
                <w:rFonts w:ascii="Arial" w:hAnsi="Arial" w:cs="Arial"/>
              </w:rPr>
              <w:t>Gary Meeds</w:t>
            </w:r>
          </w:p>
          <w:p w14:paraId="39D7D888" w14:textId="77777777" w:rsidR="00311120" w:rsidRDefault="00311120" w:rsidP="008A22C6">
            <w:pPr>
              <w:rPr>
                <w:rFonts w:ascii="Arial" w:hAnsi="Arial" w:cs="Arial"/>
              </w:rPr>
            </w:pPr>
          </w:p>
          <w:p w14:paraId="73858273" w14:textId="68D78043" w:rsidR="00311120" w:rsidRDefault="00311120" w:rsidP="008A22C6">
            <w:pPr>
              <w:rPr>
                <w:rFonts w:ascii="Arial" w:hAnsi="Arial" w:cs="Arial"/>
              </w:rPr>
            </w:pPr>
            <w:r>
              <w:rPr>
                <w:rFonts w:ascii="Arial" w:hAnsi="Arial" w:cs="Arial"/>
              </w:rPr>
              <w:t>Project Manager, Regeneration Team</w:t>
            </w:r>
          </w:p>
          <w:p w14:paraId="196B5268" w14:textId="413F9015" w:rsidR="00311120" w:rsidRPr="00A96C08" w:rsidRDefault="00311120" w:rsidP="008A22C6">
            <w:pPr>
              <w:rPr>
                <w:rFonts w:ascii="Arial" w:hAnsi="Arial" w:cs="Arial"/>
              </w:rPr>
            </w:pPr>
            <w:r>
              <w:rPr>
                <w:rFonts w:ascii="Arial" w:hAnsi="Arial" w:cs="Arial"/>
              </w:rPr>
              <w:t>20</w:t>
            </w:r>
            <w:r w:rsidR="001E304C">
              <w:rPr>
                <w:rFonts w:ascii="Arial" w:hAnsi="Arial" w:cs="Arial"/>
              </w:rPr>
              <w:t xml:space="preserve"> February 2024</w:t>
            </w:r>
          </w:p>
        </w:tc>
      </w:tr>
    </w:tbl>
    <w:p w14:paraId="196B526A" w14:textId="2D75A687" w:rsidR="002611EB" w:rsidRDefault="002611EB" w:rsidP="008A22C6"/>
    <w:p w14:paraId="196B526C"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196B526D"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196B5271" w14:textId="77777777" w:rsidTr="00FA34FE">
        <w:trPr>
          <w:trHeight w:val="516"/>
        </w:trPr>
        <w:tc>
          <w:tcPr>
            <w:tcW w:w="2836" w:type="dxa"/>
          </w:tcPr>
          <w:p w14:paraId="196B526E"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196B526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96B527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76" w14:textId="77777777" w:rsidTr="00FA34FE">
        <w:trPr>
          <w:trHeight w:val="516"/>
        </w:trPr>
        <w:tc>
          <w:tcPr>
            <w:tcW w:w="2836" w:type="dxa"/>
            <w:vAlign w:val="center"/>
          </w:tcPr>
          <w:p w14:paraId="196B5272"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196B5273" w14:textId="3E873D7C" w:rsidR="005C60B2" w:rsidRPr="005C60B2" w:rsidRDefault="005C60B2" w:rsidP="005C60B2">
            <w:pPr>
              <w:spacing w:before="120" w:after="120"/>
              <w:rPr>
                <w:rFonts w:ascii="Arial" w:hAnsi="Arial" w:cs="Arial"/>
              </w:rPr>
            </w:pPr>
          </w:p>
        </w:tc>
        <w:tc>
          <w:tcPr>
            <w:tcW w:w="5103" w:type="dxa"/>
            <w:vAlign w:val="center"/>
          </w:tcPr>
          <w:p w14:paraId="0FAB991B" w14:textId="77777777" w:rsidR="006C76FA" w:rsidRDefault="006C76FA" w:rsidP="005C60B2">
            <w:pPr>
              <w:rPr>
                <w:rFonts w:ascii="Arial" w:hAnsi="Arial" w:cs="Arial"/>
              </w:rPr>
            </w:pPr>
            <w:r>
              <w:rPr>
                <w:rFonts w:ascii="Arial" w:hAnsi="Arial" w:cs="Arial"/>
              </w:rPr>
              <w:t>Tom Bridgman</w:t>
            </w:r>
            <w:r w:rsidR="001E304C">
              <w:rPr>
                <w:rFonts w:ascii="Arial" w:hAnsi="Arial" w:cs="Arial"/>
              </w:rPr>
              <w:t xml:space="preserve">, </w:t>
            </w:r>
            <w:r w:rsidR="00C82129" w:rsidRPr="00C82129">
              <w:rPr>
                <w:rFonts w:ascii="Arial" w:hAnsi="Arial" w:cs="Arial"/>
              </w:rPr>
              <w:t xml:space="preserve">Executive Director </w:t>
            </w:r>
            <w:r w:rsidR="001E304C">
              <w:rPr>
                <w:rFonts w:ascii="Arial" w:hAnsi="Arial" w:cs="Arial"/>
              </w:rPr>
              <w:t>(</w:t>
            </w:r>
            <w:r w:rsidR="00C82129" w:rsidRPr="00C82129">
              <w:rPr>
                <w:rFonts w:ascii="Arial" w:hAnsi="Arial" w:cs="Arial"/>
              </w:rPr>
              <w:t>Development</w:t>
            </w:r>
            <w:r w:rsidR="001E304C">
              <w:rPr>
                <w:rFonts w:ascii="Arial" w:hAnsi="Arial" w:cs="Arial"/>
              </w:rPr>
              <w:t>)</w:t>
            </w:r>
          </w:p>
          <w:p w14:paraId="196B5274" w14:textId="451D4885" w:rsidR="001E304C" w:rsidRPr="005C60B2" w:rsidRDefault="001E304C" w:rsidP="005C60B2">
            <w:pPr>
              <w:rPr>
                <w:rFonts w:ascii="Arial" w:hAnsi="Arial" w:cs="Arial"/>
              </w:rPr>
            </w:pPr>
            <w:r w:rsidRPr="004D63E5">
              <w:rPr>
                <w:rFonts w:ascii="Arial" w:hAnsi="Arial" w:cs="Arial"/>
                <w:noProof/>
              </w:rPr>
              <w:drawing>
                <wp:inline distT="0" distB="0" distL="0" distR="0" wp14:anchorId="0F73FA80" wp14:editId="022EC2AF">
                  <wp:extent cx="1352550" cy="54886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8753" cy="559494"/>
                          </a:xfrm>
                          <a:prstGeom prst="rect">
                            <a:avLst/>
                          </a:prstGeom>
                        </pic:spPr>
                      </pic:pic>
                    </a:graphicData>
                  </a:graphic>
                </wp:inline>
              </w:drawing>
            </w:r>
          </w:p>
        </w:tc>
        <w:tc>
          <w:tcPr>
            <w:tcW w:w="1984" w:type="dxa"/>
            <w:vAlign w:val="center"/>
          </w:tcPr>
          <w:p w14:paraId="196B5275" w14:textId="12C8BE4C" w:rsidR="005C60B2" w:rsidRPr="005C60B2" w:rsidRDefault="00443C1B" w:rsidP="005C60B2">
            <w:pPr>
              <w:rPr>
                <w:rFonts w:ascii="Arial" w:hAnsi="Arial" w:cs="Arial"/>
              </w:rPr>
            </w:pPr>
            <w:r>
              <w:rPr>
                <w:rFonts w:ascii="Arial" w:hAnsi="Arial" w:cs="Arial"/>
              </w:rPr>
              <w:t>19</w:t>
            </w:r>
            <w:r w:rsidR="001E304C">
              <w:rPr>
                <w:rFonts w:ascii="Arial" w:hAnsi="Arial" w:cs="Arial"/>
              </w:rPr>
              <w:t xml:space="preserve"> February 2024</w:t>
            </w:r>
          </w:p>
        </w:tc>
      </w:tr>
    </w:tbl>
    <w:p w14:paraId="196B5277" w14:textId="524C1BDC" w:rsidR="005C60B2" w:rsidRPr="005C60B2" w:rsidRDefault="005C60B2" w:rsidP="005C60B2">
      <w:pPr>
        <w:rPr>
          <w:rFonts w:ascii="Arial" w:hAnsi="Arial" w:cs="Arial"/>
        </w:rPr>
      </w:pPr>
    </w:p>
    <w:p w14:paraId="196B5278" w14:textId="77777777" w:rsidR="005C60B2" w:rsidRPr="005C60B2" w:rsidRDefault="005C60B2" w:rsidP="005C60B2">
      <w:pPr>
        <w:rPr>
          <w:rFonts w:ascii="Arial" w:hAnsi="Arial" w:cs="Arial"/>
          <w:b/>
        </w:rPr>
      </w:pPr>
      <w:r w:rsidRPr="005C60B2">
        <w:rPr>
          <w:rFonts w:ascii="Arial" w:hAnsi="Arial" w:cs="Arial"/>
          <w:b/>
        </w:rPr>
        <w:t>Consultee checklist</w:t>
      </w:r>
    </w:p>
    <w:p w14:paraId="196B5279"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2888"/>
        <w:gridCol w:w="5067"/>
        <w:gridCol w:w="1968"/>
      </w:tblGrid>
      <w:tr w:rsidR="005C60B2" w:rsidRPr="005C60B2" w14:paraId="196B527D" w14:textId="77777777" w:rsidTr="00D523E0">
        <w:trPr>
          <w:trHeight w:val="516"/>
        </w:trPr>
        <w:tc>
          <w:tcPr>
            <w:tcW w:w="2888" w:type="dxa"/>
          </w:tcPr>
          <w:p w14:paraId="196B527A"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5067" w:type="dxa"/>
            <w:vAlign w:val="center"/>
          </w:tcPr>
          <w:p w14:paraId="196B527B"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68" w:type="dxa"/>
            <w:vAlign w:val="center"/>
          </w:tcPr>
          <w:p w14:paraId="196B527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6B5282" w14:textId="77777777" w:rsidTr="00D523E0">
        <w:trPr>
          <w:trHeight w:val="516"/>
        </w:trPr>
        <w:tc>
          <w:tcPr>
            <w:tcW w:w="2888" w:type="dxa"/>
            <w:vAlign w:val="center"/>
          </w:tcPr>
          <w:p w14:paraId="196B527E" w14:textId="77777777" w:rsidR="005C60B2" w:rsidRDefault="005C60B2" w:rsidP="005C60B2">
            <w:pPr>
              <w:spacing w:before="120" w:after="120"/>
              <w:rPr>
                <w:rFonts w:ascii="Arial" w:hAnsi="Arial" w:cs="Arial"/>
                <w:b/>
              </w:rPr>
            </w:pPr>
            <w:r w:rsidRPr="005C60B2">
              <w:rPr>
                <w:rFonts w:ascii="Arial" w:hAnsi="Arial" w:cs="Arial"/>
                <w:b/>
              </w:rPr>
              <w:t>Senior officer</w:t>
            </w:r>
          </w:p>
          <w:p w14:paraId="196B527F" w14:textId="2E537978" w:rsidR="005C60B2" w:rsidRPr="005C60B2" w:rsidRDefault="005C60B2" w:rsidP="005C60B2">
            <w:pPr>
              <w:spacing w:before="120" w:after="120"/>
              <w:rPr>
                <w:rFonts w:ascii="Arial" w:hAnsi="Arial" w:cs="Arial"/>
              </w:rPr>
            </w:pPr>
          </w:p>
        </w:tc>
        <w:tc>
          <w:tcPr>
            <w:tcW w:w="5067" w:type="dxa"/>
            <w:vAlign w:val="center"/>
          </w:tcPr>
          <w:p w14:paraId="4B0BCD36" w14:textId="77777777" w:rsidR="006C76FA" w:rsidRDefault="006C76FA" w:rsidP="005C60B2">
            <w:pPr>
              <w:rPr>
                <w:rFonts w:ascii="Arial" w:hAnsi="Arial" w:cs="Arial"/>
              </w:rPr>
            </w:pPr>
            <w:r>
              <w:rPr>
                <w:rFonts w:ascii="Arial" w:hAnsi="Arial" w:cs="Arial"/>
              </w:rPr>
              <w:t>Carolyn Ploszynski</w:t>
            </w:r>
            <w:r w:rsidR="001E304C">
              <w:rPr>
                <w:rFonts w:ascii="Arial" w:hAnsi="Arial" w:cs="Arial"/>
              </w:rPr>
              <w:t xml:space="preserve">, </w:t>
            </w:r>
            <w:r>
              <w:rPr>
                <w:rFonts w:ascii="Arial" w:hAnsi="Arial" w:cs="Arial"/>
              </w:rPr>
              <w:t xml:space="preserve">Head of Regeneration &amp; Economy </w:t>
            </w:r>
          </w:p>
          <w:p w14:paraId="196B5280" w14:textId="1ECC69DC" w:rsidR="001E304C" w:rsidRPr="005C60B2" w:rsidRDefault="001E304C" w:rsidP="005C60B2">
            <w:pPr>
              <w:rPr>
                <w:rFonts w:ascii="Arial" w:hAnsi="Arial" w:cs="Arial"/>
              </w:rPr>
            </w:pPr>
            <w:r w:rsidRPr="0061253E">
              <w:rPr>
                <w:noProof/>
              </w:rPr>
              <w:drawing>
                <wp:inline distT="0" distB="0" distL="0" distR="0" wp14:anchorId="2305DD36" wp14:editId="3304349D">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68" w:type="dxa"/>
            <w:vAlign w:val="center"/>
          </w:tcPr>
          <w:p w14:paraId="196B5281" w14:textId="64CDA207" w:rsidR="005C60B2" w:rsidRPr="005C60B2" w:rsidRDefault="00964AB0" w:rsidP="005C60B2">
            <w:pPr>
              <w:rPr>
                <w:rFonts w:ascii="Arial" w:hAnsi="Arial" w:cs="Arial"/>
              </w:rPr>
            </w:pPr>
            <w:r>
              <w:rPr>
                <w:rFonts w:ascii="Arial" w:hAnsi="Arial" w:cs="Arial"/>
              </w:rPr>
              <w:t>15</w:t>
            </w:r>
            <w:r w:rsidR="001E304C">
              <w:rPr>
                <w:rFonts w:ascii="Arial" w:hAnsi="Arial" w:cs="Arial"/>
              </w:rPr>
              <w:t xml:space="preserve"> February 2024</w:t>
            </w:r>
          </w:p>
        </w:tc>
      </w:tr>
      <w:tr w:rsidR="005C60B2" w:rsidRPr="005C60B2" w14:paraId="196B5287" w14:textId="77777777" w:rsidTr="00D523E0">
        <w:trPr>
          <w:trHeight w:val="1161"/>
        </w:trPr>
        <w:tc>
          <w:tcPr>
            <w:tcW w:w="2888" w:type="dxa"/>
          </w:tcPr>
          <w:p w14:paraId="196B5283" w14:textId="429822B5" w:rsidR="005C60B2" w:rsidRDefault="005C60B2" w:rsidP="005C60B2">
            <w:pPr>
              <w:spacing w:before="120"/>
              <w:rPr>
                <w:rFonts w:ascii="Arial" w:hAnsi="Arial" w:cs="Arial"/>
                <w:b/>
              </w:rPr>
            </w:pPr>
            <w:r w:rsidRPr="005C60B2">
              <w:rPr>
                <w:rFonts w:ascii="Arial" w:hAnsi="Arial" w:cs="Arial"/>
                <w:b/>
              </w:rPr>
              <w:t>Head of Financial Services</w:t>
            </w:r>
          </w:p>
          <w:p w14:paraId="196B5284" w14:textId="17922A2F" w:rsidR="005C60B2" w:rsidRPr="005C60B2" w:rsidRDefault="005C60B2" w:rsidP="005C60B2">
            <w:pPr>
              <w:spacing w:before="120"/>
              <w:rPr>
                <w:rFonts w:ascii="Arial" w:hAnsi="Arial" w:cs="Arial"/>
              </w:rPr>
            </w:pPr>
          </w:p>
        </w:tc>
        <w:tc>
          <w:tcPr>
            <w:tcW w:w="5067" w:type="dxa"/>
            <w:vAlign w:val="center"/>
          </w:tcPr>
          <w:p w14:paraId="02F84B87" w14:textId="77777777" w:rsidR="006C76FA" w:rsidRDefault="006C76FA" w:rsidP="005C60B2">
            <w:pPr>
              <w:rPr>
                <w:rFonts w:ascii="Arial" w:hAnsi="Arial" w:cs="Arial"/>
              </w:rPr>
            </w:pPr>
            <w:r>
              <w:rPr>
                <w:rFonts w:ascii="Arial" w:hAnsi="Arial" w:cs="Arial"/>
              </w:rPr>
              <w:t>Nigel Kennedy</w:t>
            </w:r>
            <w:r w:rsidR="001E304C">
              <w:rPr>
                <w:rFonts w:ascii="Arial" w:hAnsi="Arial" w:cs="Arial"/>
              </w:rPr>
              <w:t xml:space="preserve">, </w:t>
            </w:r>
            <w:r>
              <w:rPr>
                <w:rFonts w:ascii="Arial" w:hAnsi="Arial" w:cs="Arial"/>
              </w:rPr>
              <w:t xml:space="preserve">Head of Financial Services </w:t>
            </w:r>
          </w:p>
          <w:p w14:paraId="196B5285" w14:textId="29BD8BA7" w:rsidR="001E304C" w:rsidRPr="005C60B2" w:rsidRDefault="001E304C" w:rsidP="005C60B2">
            <w:pPr>
              <w:rPr>
                <w:rFonts w:ascii="Arial" w:hAnsi="Arial" w:cs="Arial"/>
              </w:rPr>
            </w:pPr>
            <w:r w:rsidRPr="00EA6048">
              <w:rPr>
                <w:noProof/>
              </w:rPr>
              <w:drawing>
                <wp:inline distT="0" distB="0" distL="0" distR="0" wp14:anchorId="67A3505F" wp14:editId="224D59DB">
                  <wp:extent cx="793750" cy="60085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229" cy="605763"/>
                          </a:xfrm>
                          <a:prstGeom prst="rect">
                            <a:avLst/>
                          </a:prstGeom>
                          <a:noFill/>
                          <a:ln>
                            <a:noFill/>
                          </a:ln>
                        </pic:spPr>
                      </pic:pic>
                    </a:graphicData>
                  </a:graphic>
                </wp:inline>
              </w:drawing>
            </w:r>
          </w:p>
        </w:tc>
        <w:tc>
          <w:tcPr>
            <w:tcW w:w="1968" w:type="dxa"/>
            <w:vAlign w:val="center"/>
          </w:tcPr>
          <w:p w14:paraId="196B5286" w14:textId="562C6632" w:rsidR="005C60B2" w:rsidRPr="005C60B2" w:rsidRDefault="00C51AED" w:rsidP="005C60B2">
            <w:pPr>
              <w:rPr>
                <w:rFonts w:ascii="Arial" w:hAnsi="Arial" w:cs="Arial"/>
              </w:rPr>
            </w:pPr>
            <w:r>
              <w:rPr>
                <w:rFonts w:ascii="Arial" w:hAnsi="Arial" w:cs="Arial"/>
              </w:rPr>
              <w:t>19</w:t>
            </w:r>
            <w:r w:rsidR="001E304C">
              <w:rPr>
                <w:rFonts w:ascii="Arial" w:hAnsi="Arial" w:cs="Arial"/>
              </w:rPr>
              <w:t xml:space="preserve"> February 2024</w:t>
            </w:r>
          </w:p>
        </w:tc>
      </w:tr>
      <w:tr w:rsidR="005C60B2" w:rsidRPr="005C60B2" w14:paraId="196B528C" w14:textId="77777777" w:rsidTr="00D523E0">
        <w:tc>
          <w:tcPr>
            <w:tcW w:w="2888" w:type="dxa"/>
          </w:tcPr>
          <w:p w14:paraId="196B5288" w14:textId="3621995E"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196B5289" w14:textId="704A6CEC" w:rsidR="005C60B2" w:rsidRPr="005C60B2" w:rsidRDefault="005C60B2" w:rsidP="005C60B2">
            <w:pPr>
              <w:spacing w:before="120" w:after="120"/>
              <w:rPr>
                <w:rFonts w:ascii="Arial" w:hAnsi="Arial" w:cs="Arial"/>
              </w:rPr>
            </w:pPr>
          </w:p>
        </w:tc>
        <w:tc>
          <w:tcPr>
            <w:tcW w:w="5067" w:type="dxa"/>
          </w:tcPr>
          <w:p w14:paraId="583A2F43" w14:textId="77777777" w:rsidR="006C76FA" w:rsidRDefault="0020471F" w:rsidP="005C60B2">
            <w:pPr>
              <w:rPr>
                <w:rFonts w:ascii="Arial" w:hAnsi="Arial" w:cs="Arial"/>
              </w:rPr>
            </w:pPr>
            <w:r>
              <w:rPr>
                <w:rFonts w:ascii="Arial" w:hAnsi="Arial" w:cs="Arial"/>
              </w:rPr>
              <w:t>Emma Jackman</w:t>
            </w:r>
            <w:r w:rsidR="001E304C">
              <w:rPr>
                <w:rFonts w:ascii="Arial" w:hAnsi="Arial" w:cs="Arial"/>
              </w:rPr>
              <w:t xml:space="preserve">, </w:t>
            </w:r>
            <w:r w:rsidR="006C76FA">
              <w:rPr>
                <w:rFonts w:ascii="Arial" w:hAnsi="Arial" w:cs="Arial"/>
              </w:rPr>
              <w:t xml:space="preserve">Head of Law &amp; Governance </w:t>
            </w:r>
          </w:p>
          <w:p w14:paraId="196B528A" w14:textId="3D289669" w:rsidR="001E304C" w:rsidRPr="005C60B2" w:rsidRDefault="001E304C" w:rsidP="005C60B2">
            <w:pPr>
              <w:rPr>
                <w:rFonts w:ascii="Arial" w:hAnsi="Arial" w:cs="Arial"/>
              </w:rPr>
            </w:pPr>
            <w:r>
              <w:rPr>
                <w:noProof/>
              </w:rPr>
              <w:drawing>
                <wp:inline distT="0" distB="0" distL="0" distR="0" wp14:anchorId="591F1D33" wp14:editId="19B00C50">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854" cy="592204"/>
                          </a:xfrm>
                          <a:prstGeom prst="rect">
                            <a:avLst/>
                          </a:prstGeom>
                        </pic:spPr>
                      </pic:pic>
                    </a:graphicData>
                  </a:graphic>
                </wp:inline>
              </w:drawing>
            </w:r>
          </w:p>
        </w:tc>
        <w:tc>
          <w:tcPr>
            <w:tcW w:w="1968" w:type="dxa"/>
          </w:tcPr>
          <w:p w14:paraId="196B528B" w14:textId="7B14B0DC" w:rsidR="000528FE" w:rsidRPr="005C60B2" w:rsidRDefault="00964AB0" w:rsidP="005C60B2">
            <w:pPr>
              <w:rPr>
                <w:rFonts w:ascii="Arial" w:hAnsi="Arial" w:cs="Arial"/>
              </w:rPr>
            </w:pPr>
            <w:r>
              <w:rPr>
                <w:rFonts w:ascii="Arial" w:hAnsi="Arial" w:cs="Arial"/>
              </w:rPr>
              <w:t>16</w:t>
            </w:r>
            <w:r w:rsidR="001E304C">
              <w:rPr>
                <w:rFonts w:ascii="Arial" w:hAnsi="Arial" w:cs="Arial"/>
              </w:rPr>
              <w:t xml:space="preserve"> February 20</w:t>
            </w:r>
            <w:r>
              <w:rPr>
                <w:rFonts w:ascii="Arial" w:hAnsi="Arial" w:cs="Arial"/>
              </w:rPr>
              <w:t>24</w:t>
            </w:r>
          </w:p>
        </w:tc>
      </w:tr>
      <w:tr w:rsidR="005C60B2" w:rsidRPr="005C60B2" w14:paraId="196B5291" w14:textId="77777777" w:rsidTr="00D523E0">
        <w:trPr>
          <w:trHeight w:val="562"/>
        </w:trPr>
        <w:tc>
          <w:tcPr>
            <w:tcW w:w="2888" w:type="dxa"/>
            <w:vAlign w:val="center"/>
          </w:tcPr>
          <w:p w14:paraId="196B528D" w14:textId="50F0AD55" w:rsidR="001E304C" w:rsidRPr="005C60B2" w:rsidRDefault="005C60B2" w:rsidP="001E304C">
            <w:pPr>
              <w:spacing w:before="120" w:after="120"/>
              <w:rPr>
                <w:rFonts w:ascii="Arial" w:hAnsi="Arial" w:cs="Arial"/>
              </w:rPr>
            </w:pPr>
            <w:r w:rsidRPr="005C60B2">
              <w:rPr>
                <w:rFonts w:ascii="Arial" w:hAnsi="Arial" w:cs="Arial"/>
                <w:b/>
              </w:rPr>
              <w:t>Cabinet Member</w:t>
            </w:r>
          </w:p>
          <w:p w14:paraId="196B528E" w14:textId="63D1DAC9" w:rsidR="005C60B2" w:rsidRPr="005C60B2" w:rsidRDefault="005C60B2" w:rsidP="005C60B2">
            <w:pPr>
              <w:spacing w:before="120" w:after="120"/>
              <w:rPr>
                <w:rFonts w:ascii="Arial" w:hAnsi="Arial" w:cs="Arial"/>
              </w:rPr>
            </w:pPr>
          </w:p>
        </w:tc>
        <w:tc>
          <w:tcPr>
            <w:tcW w:w="5067" w:type="dxa"/>
            <w:vAlign w:val="center"/>
          </w:tcPr>
          <w:p w14:paraId="196B528F" w14:textId="7C63EF0A" w:rsidR="006C76FA" w:rsidRPr="005C60B2" w:rsidRDefault="006C76FA" w:rsidP="005C60B2">
            <w:pPr>
              <w:rPr>
                <w:rFonts w:ascii="Arial" w:hAnsi="Arial" w:cs="Arial"/>
              </w:rPr>
            </w:pPr>
            <w:r>
              <w:rPr>
                <w:rFonts w:ascii="Arial" w:hAnsi="Arial" w:cs="Arial"/>
              </w:rPr>
              <w:t>C</w:t>
            </w:r>
            <w:r w:rsidR="00D523E0">
              <w:rPr>
                <w:rFonts w:ascii="Arial" w:hAnsi="Arial" w:cs="Arial"/>
              </w:rPr>
              <w:t>ounci</w:t>
            </w:r>
            <w:r>
              <w:rPr>
                <w:rFonts w:ascii="Arial" w:hAnsi="Arial" w:cs="Arial"/>
              </w:rPr>
              <w:t>ll</w:t>
            </w:r>
            <w:r w:rsidR="00D523E0">
              <w:rPr>
                <w:rFonts w:ascii="Arial" w:hAnsi="Arial" w:cs="Arial"/>
              </w:rPr>
              <w:t>o</w:t>
            </w:r>
            <w:r>
              <w:rPr>
                <w:rFonts w:ascii="Arial" w:hAnsi="Arial" w:cs="Arial"/>
              </w:rPr>
              <w:t xml:space="preserve">r </w:t>
            </w:r>
            <w:r w:rsidR="0020471F">
              <w:rPr>
                <w:rFonts w:ascii="Arial" w:hAnsi="Arial" w:cs="Arial"/>
              </w:rPr>
              <w:t>Ed Turner</w:t>
            </w:r>
            <w:r w:rsidR="001E304C">
              <w:rPr>
                <w:rFonts w:ascii="Arial" w:hAnsi="Arial" w:cs="Arial"/>
              </w:rPr>
              <w:t>, Deputy Leader (Statutory) – Finance and Asset Management</w:t>
            </w:r>
          </w:p>
        </w:tc>
        <w:tc>
          <w:tcPr>
            <w:tcW w:w="1968" w:type="dxa"/>
            <w:vAlign w:val="center"/>
          </w:tcPr>
          <w:p w14:paraId="196B5290" w14:textId="4C1C1D21" w:rsidR="005C60B2" w:rsidRPr="005C60B2" w:rsidRDefault="00443C1B" w:rsidP="005C60B2">
            <w:pPr>
              <w:rPr>
                <w:rFonts w:ascii="Arial" w:hAnsi="Arial" w:cs="Arial"/>
              </w:rPr>
            </w:pPr>
            <w:r>
              <w:rPr>
                <w:rFonts w:ascii="Arial" w:hAnsi="Arial" w:cs="Arial"/>
              </w:rPr>
              <w:t>20</w:t>
            </w:r>
            <w:r w:rsidR="001E304C">
              <w:rPr>
                <w:rFonts w:ascii="Arial" w:hAnsi="Arial" w:cs="Arial"/>
              </w:rPr>
              <w:t xml:space="preserve"> February 20</w:t>
            </w:r>
            <w:r>
              <w:rPr>
                <w:rFonts w:ascii="Arial" w:hAnsi="Arial" w:cs="Arial"/>
              </w:rPr>
              <w:t>24</w:t>
            </w:r>
          </w:p>
        </w:tc>
      </w:tr>
    </w:tbl>
    <w:p w14:paraId="159B656C" w14:textId="77777777" w:rsidR="00E27060" w:rsidRPr="00B15340" w:rsidRDefault="00E27060" w:rsidP="005C6416">
      <w:pPr>
        <w:rPr>
          <w:rFonts w:ascii="Arial" w:hAnsi="Arial" w:cs="Arial"/>
        </w:rPr>
      </w:pPr>
    </w:p>
    <w:sectPr w:rsidR="00E27060" w:rsidRPr="00B15340" w:rsidSect="00532DF2">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372D" w14:textId="77777777" w:rsidR="00E02A6B" w:rsidRDefault="00E02A6B" w:rsidP="00F11FD1">
      <w:r>
        <w:separator/>
      </w:r>
    </w:p>
  </w:endnote>
  <w:endnote w:type="continuationSeparator" w:id="0">
    <w:p w14:paraId="549D3A76" w14:textId="77777777" w:rsidR="00E02A6B" w:rsidRDefault="00E02A6B"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52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3301" w14:textId="77777777" w:rsidR="00E02A6B" w:rsidRDefault="00E02A6B" w:rsidP="00F11FD1">
      <w:r>
        <w:separator/>
      </w:r>
    </w:p>
  </w:footnote>
  <w:footnote w:type="continuationSeparator" w:id="0">
    <w:p w14:paraId="6531FDDE" w14:textId="77777777" w:rsidR="00E02A6B" w:rsidRDefault="00E02A6B"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529C"/>
    <w:multiLevelType w:val="multilevel"/>
    <w:tmpl w:val="860CF298"/>
    <w:lvl w:ilvl="0">
      <w:start w:val="1"/>
      <w:numFmt w:val="decimal"/>
      <w:pStyle w:val="NumHeading1"/>
      <w:lvlText w:val="%1"/>
      <w:lvlJc w:val="left"/>
      <w:pPr>
        <w:tabs>
          <w:tab w:val="num" w:pos="851"/>
        </w:tabs>
        <w:ind w:left="851" w:hanging="851"/>
      </w:pPr>
    </w:lvl>
    <w:lvl w:ilvl="1">
      <w:start w:val="1"/>
      <w:numFmt w:val="decimal"/>
      <w:pStyle w:val="NumPara"/>
      <w:lvlText w:val="%1.%2"/>
      <w:lvlJc w:val="left"/>
      <w:pPr>
        <w:tabs>
          <w:tab w:val="num" w:pos="851"/>
        </w:tabs>
        <w:ind w:left="851" w:hanging="851"/>
      </w:pPr>
    </w:lvl>
    <w:lvl w:ilvl="2">
      <w:start w:val="1"/>
      <w:numFmt w:val="decimal"/>
      <w:pStyle w:val="NumPara2"/>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99783E"/>
    <w:multiLevelType w:val="hybridMultilevel"/>
    <w:tmpl w:val="25988BB8"/>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41AAF"/>
    <w:multiLevelType w:val="hybridMultilevel"/>
    <w:tmpl w:val="C854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B50B1"/>
    <w:multiLevelType w:val="hybridMultilevel"/>
    <w:tmpl w:val="847C25BA"/>
    <w:lvl w:ilvl="0" w:tplc="C74C3932">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562907">
    <w:abstractNumId w:val="7"/>
  </w:num>
  <w:num w:numId="2" w16cid:durableId="743144538">
    <w:abstractNumId w:val="1"/>
  </w:num>
  <w:num w:numId="3" w16cid:durableId="1769499186">
    <w:abstractNumId w:val="10"/>
  </w:num>
  <w:num w:numId="4" w16cid:durableId="546256016">
    <w:abstractNumId w:val="2"/>
  </w:num>
  <w:num w:numId="5" w16cid:durableId="510608289">
    <w:abstractNumId w:val="3"/>
  </w:num>
  <w:num w:numId="6" w16cid:durableId="402486436">
    <w:abstractNumId w:val="6"/>
  </w:num>
  <w:num w:numId="7" w16cid:durableId="1450080670">
    <w:abstractNumId w:val="4"/>
  </w:num>
  <w:num w:numId="8" w16cid:durableId="2080208065">
    <w:abstractNumId w:val="8"/>
  </w:num>
  <w:num w:numId="9" w16cid:durableId="70748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312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4130740">
    <w:abstractNumId w:val="9"/>
  </w:num>
  <w:num w:numId="12" w16cid:durableId="1192111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25B24"/>
    <w:rsid w:val="000445D4"/>
    <w:rsid w:val="000528FE"/>
    <w:rsid w:val="0005774E"/>
    <w:rsid w:val="0008133A"/>
    <w:rsid w:val="000B4310"/>
    <w:rsid w:val="000B7E68"/>
    <w:rsid w:val="000D2140"/>
    <w:rsid w:val="000D7429"/>
    <w:rsid w:val="000F4239"/>
    <w:rsid w:val="0015298F"/>
    <w:rsid w:val="00177D21"/>
    <w:rsid w:val="001C29CA"/>
    <w:rsid w:val="001D1AF2"/>
    <w:rsid w:val="001E304C"/>
    <w:rsid w:val="00200A96"/>
    <w:rsid w:val="0020471F"/>
    <w:rsid w:val="002078B1"/>
    <w:rsid w:val="00231385"/>
    <w:rsid w:val="00250E3B"/>
    <w:rsid w:val="002611EB"/>
    <w:rsid w:val="00263039"/>
    <w:rsid w:val="002A07C9"/>
    <w:rsid w:val="002A763B"/>
    <w:rsid w:val="002B302A"/>
    <w:rsid w:val="002B53D4"/>
    <w:rsid w:val="002C3F00"/>
    <w:rsid w:val="002E61DD"/>
    <w:rsid w:val="00311120"/>
    <w:rsid w:val="0032205F"/>
    <w:rsid w:val="00335A9B"/>
    <w:rsid w:val="003505E0"/>
    <w:rsid w:val="003547CD"/>
    <w:rsid w:val="00354915"/>
    <w:rsid w:val="00373F5D"/>
    <w:rsid w:val="003B1236"/>
    <w:rsid w:val="004000D7"/>
    <w:rsid w:val="00405321"/>
    <w:rsid w:val="00424A92"/>
    <w:rsid w:val="00443C1B"/>
    <w:rsid w:val="004955CB"/>
    <w:rsid w:val="004A049B"/>
    <w:rsid w:val="004B1944"/>
    <w:rsid w:val="004B276B"/>
    <w:rsid w:val="00504E43"/>
    <w:rsid w:val="00506DA7"/>
    <w:rsid w:val="00523DD4"/>
    <w:rsid w:val="00532DF2"/>
    <w:rsid w:val="00590BE4"/>
    <w:rsid w:val="005C60B2"/>
    <w:rsid w:val="005C6416"/>
    <w:rsid w:val="005E37E4"/>
    <w:rsid w:val="0060774F"/>
    <w:rsid w:val="00616F3F"/>
    <w:rsid w:val="00621B4B"/>
    <w:rsid w:val="006247C4"/>
    <w:rsid w:val="00636621"/>
    <w:rsid w:val="00652DD5"/>
    <w:rsid w:val="006A7A6E"/>
    <w:rsid w:val="006B1A11"/>
    <w:rsid w:val="006C76FA"/>
    <w:rsid w:val="006E7811"/>
    <w:rsid w:val="006F6326"/>
    <w:rsid w:val="006F6731"/>
    <w:rsid w:val="007023AB"/>
    <w:rsid w:val="00757726"/>
    <w:rsid w:val="007908F4"/>
    <w:rsid w:val="00796B31"/>
    <w:rsid w:val="007A0B55"/>
    <w:rsid w:val="007D270E"/>
    <w:rsid w:val="00801BEB"/>
    <w:rsid w:val="00804BF2"/>
    <w:rsid w:val="0081159C"/>
    <w:rsid w:val="00834D72"/>
    <w:rsid w:val="0084347D"/>
    <w:rsid w:val="00844D21"/>
    <w:rsid w:val="00854133"/>
    <w:rsid w:val="008613FB"/>
    <w:rsid w:val="00863D32"/>
    <w:rsid w:val="008676E5"/>
    <w:rsid w:val="008900A7"/>
    <w:rsid w:val="0089126A"/>
    <w:rsid w:val="00891B19"/>
    <w:rsid w:val="008A22C6"/>
    <w:rsid w:val="008E4629"/>
    <w:rsid w:val="00924808"/>
    <w:rsid w:val="00935411"/>
    <w:rsid w:val="00960744"/>
    <w:rsid w:val="00964AB0"/>
    <w:rsid w:val="00983B52"/>
    <w:rsid w:val="00986C99"/>
    <w:rsid w:val="009F048F"/>
    <w:rsid w:val="009F35AF"/>
    <w:rsid w:val="009F6401"/>
    <w:rsid w:val="00A12928"/>
    <w:rsid w:val="00A253FE"/>
    <w:rsid w:val="00A41DEB"/>
    <w:rsid w:val="00A43FB7"/>
    <w:rsid w:val="00A81C5E"/>
    <w:rsid w:val="00A905D9"/>
    <w:rsid w:val="00A96C08"/>
    <w:rsid w:val="00AA20FD"/>
    <w:rsid w:val="00AC5899"/>
    <w:rsid w:val="00AD3066"/>
    <w:rsid w:val="00AF36FE"/>
    <w:rsid w:val="00B15340"/>
    <w:rsid w:val="00B15727"/>
    <w:rsid w:val="00B641CA"/>
    <w:rsid w:val="00B70E40"/>
    <w:rsid w:val="00B71FC1"/>
    <w:rsid w:val="00B723DC"/>
    <w:rsid w:val="00B87695"/>
    <w:rsid w:val="00B928EF"/>
    <w:rsid w:val="00BC6B49"/>
    <w:rsid w:val="00BD4490"/>
    <w:rsid w:val="00BD6F92"/>
    <w:rsid w:val="00BE1FD4"/>
    <w:rsid w:val="00BF240D"/>
    <w:rsid w:val="00C07F80"/>
    <w:rsid w:val="00C251F7"/>
    <w:rsid w:val="00C426F4"/>
    <w:rsid w:val="00C51793"/>
    <w:rsid w:val="00C51AED"/>
    <w:rsid w:val="00C60346"/>
    <w:rsid w:val="00C6130E"/>
    <w:rsid w:val="00C678ED"/>
    <w:rsid w:val="00C765FA"/>
    <w:rsid w:val="00C82129"/>
    <w:rsid w:val="00CA6B14"/>
    <w:rsid w:val="00CB5E4F"/>
    <w:rsid w:val="00CD1473"/>
    <w:rsid w:val="00CD2871"/>
    <w:rsid w:val="00CD4BC9"/>
    <w:rsid w:val="00CE6085"/>
    <w:rsid w:val="00D05496"/>
    <w:rsid w:val="00D05E76"/>
    <w:rsid w:val="00D33F83"/>
    <w:rsid w:val="00D5207C"/>
    <w:rsid w:val="00D523E0"/>
    <w:rsid w:val="00D543D9"/>
    <w:rsid w:val="00D767CD"/>
    <w:rsid w:val="00D907D4"/>
    <w:rsid w:val="00DA7411"/>
    <w:rsid w:val="00DB01D4"/>
    <w:rsid w:val="00DC2E8D"/>
    <w:rsid w:val="00DD1A34"/>
    <w:rsid w:val="00DD4885"/>
    <w:rsid w:val="00DD51B2"/>
    <w:rsid w:val="00DF457E"/>
    <w:rsid w:val="00E02A6B"/>
    <w:rsid w:val="00E127E3"/>
    <w:rsid w:val="00E2036C"/>
    <w:rsid w:val="00E20A54"/>
    <w:rsid w:val="00E27060"/>
    <w:rsid w:val="00E270E5"/>
    <w:rsid w:val="00E36E2C"/>
    <w:rsid w:val="00E71EF2"/>
    <w:rsid w:val="00E95412"/>
    <w:rsid w:val="00E97024"/>
    <w:rsid w:val="00E97F84"/>
    <w:rsid w:val="00EE385E"/>
    <w:rsid w:val="00EF45A7"/>
    <w:rsid w:val="00F0024D"/>
    <w:rsid w:val="00F11FD1"/>
    <w:rsid w:val="00F25EDB"/>
    <w:rsid w:val="00F64579"/>
    <w:rsid w:val="00F76A94"/>
    <w:rsid w:val="00F93393"/>
    <w:rsid w:val="00FA600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2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915"/>
    <w:rPr>
      <w:sz w:val="16"/>
      <w:szCs w:val="16"/>
    </w:rPr>
  </w:style>
  <w:style w:type="paragraph" w:styleId="CommentText">
    <w:name w:val="annotation text"/>
    <w:basedOn w:val="Normal"/>
    <w:link w:val="CommentTextChar"/>
    <w:uiPriority w:val="99"/>
    <w:semiHidden/>
    <w:unhideWhenUsed/>
    <w:rsid w:val="00354915"/>
    <w:rPr>
      <w:sz w:val="20"/>
      <w:szCs w:val="20"/>
    </w:rPr>
  </w:style>
  <w:style w:type="character" w:customStyle="1" w:styleId="CommentTextChar">
    <w:name w:val="Comment Text Char"/>
    <w:basedOn w:val="DefaultParagraphFont"/>
    <w:link w:val="CommentText"/>
    <w:uiPriority w:val="99"/>
    <w:semiHidden/>
    <w:rsid w:val="003549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4915"/>
    <w:rPr>
      <w:b/>
      <w:bCs/>
    </w:rPr>
  </w:style>
  <w:style w:type="character" w:customStyle="1" w:styleId="CommentSubjectChar">
    <w:name w:val="Comment Subject Char"/>
    <w:basedOn w:val="CommentTextChar"/>
    <w:link w:val="CommentSubject"/>
    <w:uiPriority w:val="99"/>
    <w:semiHidden/>
    <w:rsid w:val="00354915"/>
    <w:rPr>
      <w:rFonts w:ascii="Times New Roman" w:eastAsia="Times New Roman" w:hAnsi="Times New Roman" w:cs="Times New Roman"/>
      <w:b/>
      <w:bCs/>
      <w:sz w:val="20"/>
      <w:szCs w:val="20"/>
      <w:lang w:eastAsia="en-GB"/>
    </w:rPr>
  </w:style>
  <w:style w:type="character" w:customStyle="1" w:styleId="NumParaChar">
    <w:name w:val="Num Para Char"/>
    <w:basedOn w:val="DefaultParagraphFont"/>
    <w:link w:val="NumPara"/>
    <w:locked/>
    <w:rsid w:val="00EE385E"/>
    <w:rPr>
      <w:rFonts w:eastAsia="Times New Roman" w:cs="Times New Roman"/>
      <w:lang w:eastAsia="en-GB"/>
    </w:rPr>
  </w:style>
  <w:style w:type="paragraph" w:customStyle="1" w:styleId="NumPara">
    <w:name w:val="Num Para"/>
    <w:link w:val="NumParaChar"/>
    <w:qFormat/>
    <w:rsid w:val="00EE385E"/>
    <w:pPr>
      <w:numPr>
        <w:ilvl w:val="1"/>
        <w:numId w:val="9"/>
      </w:numPr>
      <w:spacing w:after="120" w:line="276" w:lineRule="auto"/>
      <w:jc w:val="both"/>
    </w:pPr>
    <w:rPr>
      <w:rFonts w:eastAsia="Times New Roman" w:cs="Times New Roman"/>
      <w:lang w:eastAsia="en-GB"/>
    </w:rPr>
  </w:style>
  <w:style w:type="paragraph" w:customStyle="1" w:styleId="NumHeading1">
    <w:name w:val="Num Heading 1"/>
    <w:next w:val="NumPara"/>
    <w:qFormat/>
    <w:rsid w:val="00EE385E"/>
    <w:pPr>
      <w:keepNext/>
      <w:numPr>
        <w:numId w:val="9"/>
      </w:numPr>
      <w:spacing w:before="340" w:after="120"/>
    </w:pPr>
    <w:rPr>
      <w:rFonts w:eastAsia="Times New Roman" w:cs="Times New Roman"/>
      <w:b/>
      <w:spacing w:val="5"/>
      <w:szCs w:val="48"/>
      <w:lang w:eastAsia="en-GB"/>
    </w:rPr>
  </w:style>
  <w:style w:type="paragraph" w:customStyle="1" w:styleId="NumPara2">
    <w:name w:val="Num Para 2"/>
    <w:basedOn w:val="NumPara"/>
    <w:qFormat/>
    <w:rsid w:val="00EE385E"/>
    <w:pPr>
      <w:numPr>
        <w:ilvl w:val="2"/>
      </w:numPr>
      <w:tabs>
        <w:tab w:val="clear" w:pos="851"/>
        <w:tab w:val="num" w:pos="360"/>
      </w:tabs>
      <w:ind w:left="2160" w:hanging="360"/>
    </w:pPr>
  </w:style>
  <w:style w:type="character" w:styleId="UnresolvedMention">
    <w:name w:val="Unresolved Mention"/>
    <w:basedOn w:val="DefaultParagraphFont"/>
    <w:uiPriority w:val="99"/>
    <w:semiHidden/>
    <w:unhideWhenUsed/>
    <w:rsid w:val="0015298F"/>
    <w:rPr>
      <w:color w:val="605E5C"/>
      <w:shd w:val="clear" w:color="auto" w:fill="E1DFDD"/>
    </w:rPr>
  </w:style>
  <w:style w:type="paragraph" w:styleId="Revision">
    <w:name w:val="Revision"/>
    <w:hidden/>
    <w:uiPriority w:val="99"/>
    <w:semiHidden/>
    <w:rsid w:val="00983B5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440421880">
      <w:bodyDiv w:val="1"/>
      <w:marLeft w:val="0"/>
      <w:marRight w:val="0"/>
      <w:marTop w:val="0"/>
      <w:marBottom w:val="0"/>
      <w:divBdr>
        <w:top w:val="none" w:sz="0" w:space="0" w:color="auto"/>
        <w:left w:val="none" w:sz="0" w:space="0" w:color="auto"/>
        <w:bottom w:val="none" w:sz="0" w:space="0" w:color="auto"/>
        <w:right w:val="none" w:sz="0" w:space="0" w:color="auto"/>
      </w:divBdr>
    </w:div>
    <w:div w:id="47383314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10888036">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02155524">
      <w:bodyDiv w:val="1"/>
      <w:marLeft w:val="0"/>
      <w:marRight w:val="0"/>
      <w:marTop w:val="0"/>
      <w:marBottom w:val="0"/>
      <w:divBdr>
        <w:top w:val="none" w:sz="0" w:space="0" w:color="auto"/>
        <w:left w:val="none" w:sz="0" w:space="0" w:color="auto"/>
        <w:bottom w:val="none" w:sz="0" w:space="0" w:color="auto"/>
        <w:right w:val="none" w:sz="0" w:space="0" w:color="auto"/>
      </w:divBdr>
    </w:div>
    <w:div w:id="1491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mgIssueHistoryHome.aspx?IId=3424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documents/s70481/Report%20-%20Oxpens%20River%20Bridge.pdf"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44EFC-F32B-466A-BEA4-9A944E55C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72A90-73FA-4694-AE91-95066A22AF7D}">
  <ds:schemaRefs>
    <ds:schemaRef ds:uri="http://schemas.openxmlformats.org/officeDocument/2006/bibliography"/>
  </ds:schemaRefs>
</ds:datastoreItem>
</file>

<file path=customXml/itemProps3.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2DE83-4E8F-41D4-BB79-19F8A963A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Sarah.Claridge;Steve Weitzel</dc:creator>
  <cp:lastModifiedBy>LUND Emma</cp:lastModifiedBy>
  <cp:revision>9</cp:revision>
  <cp:lastPrinted>2015-07-27T09:35:00Z</cp:lastPrinted>
  <dcterms:created xsi:type="dcterms:W3CDTF">2024-02-20T09:53:00Z</dcterms:created>
  <dcterms:modified xsi:type="dcterms:W3CDTF">2024-02-20T15:47:00Z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